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E2403" w:rsidP="002E4BA1" w:rsidRDefault="009E2403" w14:paraId="7946CAED" w14:textId="181F5F67">
      <w:pPr>
        <w:jc w:val="center"/>
        <w:rPr>
          <w:b/>
          <w:bCs/>
          <w:sz w:val="32"/>
          <w:szCs w:val="32"/>
          <w:u w:val="single"/>
        </w:rPr>
      </w:pPr>
      <w:r>
        <w:rPr>
          <w:b/>
          <w:bCs/>
          <w:sz w:val="32"/>
          <w:szCs w:val="32"/>
          <w:u w:val="single"/>
        </w:rPr>
        <w:t>Nuffield Council on Bioethics</w:t>
      </w:r>
    </w:p>
    <w:p w:rsidR="009E2403" w:rsidP="002E4BA1" w:rsidRDefault="009E2403" w14:paraId="069BB2DC" w14:textId="1E295D7E">
      <w:pPr>
        <w:jc w:val="center"/>
        <w:rPr>
          <w:b/>
          <w:bCs/>
          <w:sz w:val="32"/>
          <w:szCs w:val="32"/>
          <w:u w:val="single"/>
        </w:rPr>
      </w:pPr>
    </w:p>
    <w:p w:rsidR="009E2403" w:rsidP="002E4BA1" w:rsidRDefault="009E2403" w14:paraId="33F46DC3" w14:textId="43239427">
      <w:pPr>
        <w:jc w:val="center"/>
        <w:rPr>
          <w:b/>
          <w:bCs/>
          <w:sz w:val="32"/>
          <w:szCs w:val="32"/>
          <w:u w:val="single"/>
        </w:rPr>
      </w:pPr>
    </w:p>
    <w:p w:rsidRPr="00C94CDC" w:rsidR="009E2403" w:rsidP="002E4BA1" w:rsidRDefault="009E2403" w14:paraId="46F76C7E" w14:textId="7FFEC7D5">
      <w:pPr>
        <w:jc w:val="center"/>
        <w:rPr>
          <w:b/>
          <w:bCs/>
          <w:color w:val="002060"/>
          <w:sz w:val="36"/>
          <w:szCs w:val="36"/>
          <w:u w:val="single"/>
        </w:rPr>
      </w:pPr>
      <w:r w:rsidRPr="00C94CDC">
        <w:rPr>
          <w:b/>
          <w:bCs/>
          <w:color w:val="002060"/>
          <w:sz w:val="36"/>
          <w:szCs w:val="36"/>
          <w:u w:val="single"/>
        </w:rPr>
        <w:t>LITERATURE REVIEW</w:t>
      </w:r>
    </w:p>
    <w:p w:rsidR="009E2403" w:rsidP="002E4BA1" w:rsidRDefault="009E2403" w14:paraId="6082AFAB" w14:textId="77777777">
      <w:pPr>
        <w:jc w:val="center"/>
        <w:rPr>
          <w:b/>
          <w:bCs/>
          <w:sz w:val="32"/>
          <w:szCs w:val="32"/>
          <w:u w:val="single"/>
        </w:rPr>
      </w:pPr>
    </w:p>
    <w:p w:rsidR="002E4BA1" w:rsidP="002E4BA1" w:rsidRDefault="00B61629" w14:paraId="756FC09F" w14:textId="6DD20813">
      <w:pPr>
        <w:jc w:val="center"/>
        <w:rPr>
          <w:b/>
          <w:bCs/>
          <w:sz w:val="32"/>
          <w:szCs w:val="32"/>
          <w:u w:val="single"/>
        </w:rPr>
      </w:pPr>
      <w:r w:rsidRPr="00847B7A">
        <w:rPr>
          <w:b/>
          <w:bCs/>
          <w:sz w:val="32"/>
          <w:szCs w:val="32"/>
          <w:u w:val="single"/>
        </w:rPr>
        <w:t xml:space="preserve">Disagreements in the Care of Critically </w:t>
      </w:r>
      <w:r w:rsidR="00B771FA">
        <w:rPr>
          <w:b/>
          <w:bCs/>
          <w:sz w:val="32"/>
          <w:szCs w:val="32"/>
          <w:u w:val="single"/>
        </w:rPr>
        <w:t>Ill</w:t>
      </w:r>
      <w:r w:rsidRPr="00847B7A">
        <w:rPr>
          <w:b/>
          <w:bCs/>
          <w:sz w:val="32"/>
          <w:szCs w:val="32"/>
          <w:u w:val="single"/>
        </w:rPr>
        <w:t xml:space="preserve"> Children: Causes, Impact and </w:t>
      </w:r>
      <w:r w:rsidRPr="00847B7A" w:rsidR="002E4BA1">
        <w:rPr>
          <w:b/>
          <w:bCs/>
          <w:sz w:val="32"/>
          <w:szCs w:val="32"/>
          <w:u w:val="single"/>
        </w:rPr>
        <w:t>Possible Resolution Mechanisms</w:t>
      </w:r>
    </w:p>
    <w:p w:rsidR="0027295C" w:rsidP="002E4BA1" w:rsidRDefault="0027295C" w14:paraId="625F248A" w14:textId="7709AE2D">
      <w:pPr>
        <w:jc w:val="center"/>
        <w:rPr>
          <w:b/>
          <w:bCs/>
          <w:sz w:val="32"/>
          <w:szCs w:val="32"/>
          <w:u w:val="single"/>
        </w:rPr>
      </w:pPr>
    </w:p>
    <w:p w:rsidR="0027295C" w:rsidP="002E4BA1" w:rsidRDefault="0027295C" w14:paraId="496BF1B4" w14:textId="4D245BE2">
      <w:pPr>
        <w:jc w:val="center"/>
        <w:rPr>
          <w:b/>
          <w:bCs/>
          <w:sz w:val="32"/>
          <w:szCs w:val="32"/>
          <w:u w:val="single"/>
        </w:rPr>
      </w:pPr>
    </w:p>
    <w:p w:rsidR="0027295C" w:rsidP="002E4BA1" w:rsidRDefault="0027295C" w14:paraId="06E5D09C" w14:textId="3541D934">
      <w:pPr>
        <w:jc w:val="center"/>
        <w:rPr>
          <w:sz w:val="28"/>
          <w:szCs w:val="28"/>
        </w:rPr>
      </w:pPr>
      <w:r>
        <w:rPr>
          <w:sz w:val="28"/>
          <w:szCs w:val="28"/>
        </w:rPr>
        <w:t>Dr Kirsty Moreton</w:t>
      </w:r>
    </w:p>
    <w:p w:rsidR="0027295C" w:rsidP="002E4BA1" w:rsidRDefault="0027295C" w14:paraId="3A3679BB" w14:textId="62494B68">
      <w:pPr>
        <w:jc w:val="center"/>
        <w:rPr>
          <w:sz w:val="28"/>
          <w:szCs w:val="28"/>
        </w:rPr>
      </w:pPr>
      <w:r>
        <w:rPr>
          <w:sz w:val="28"/>
          <w:szCs w:val="28"/>
        </w:rPr>
        <w:t xml:space="preserve">Associate Professor in Law, </w:t>
      </w:r>
      <w:r w:rsidR="00214641">
        <w:rPr>
          <w:sz w:val="28"/>
          <w:szCs w:val="28"/>
        </w:rPr>
        <w:t>Birmingham Law School, University of Birmingham, UK</w:t>
      </w:r>
    </w:p>
    <w:p w:rsidR="00214641" w:rsidP="002E4BA1" w:rsidRDefault="00214641" w14:paraId="30DEC3C0" w14:textId="6D0876F6">
      <w:pPr>
        <w:jc w:val="center"/>
        <w:rPr>
          <w:sz w:val="28"/>
          <w:szCs w:val="28"/>
        </w:rPr>
      </w:pPr>
    </w:p>
    <w:p w:rsidR="00214641" w:rsidP="002E4BA1" w:rsidRDefault="00214641" w14:paraId="78C8AFE1" w14:textId="461035F6">
      <w:pPr>
        <w:jc w:val="center"/>
        <w:rPr>
          <w:sz w:val="28"/>
          <w:szCs w:val="28"/>
        </w:rPr>
      </w:pPr>
    </w:p>
    <w:p w:rsidR="00214641" w:rsidP="002E4BA1" w:rsidRDefault="00214641" w14:paraId="76F2F581" w14:textId="61C15F94">
      <w:pPr>
        <w:jc w:val="center"/>
        <w:rPr>
          <w:sz w:val="28"/>
          <w:szCs w:val="28"/>
        </w:rPr>
      </w:pPr>
    </w:p>
    <w:p w:rsidR="00214641" w:rsidP="002E4BA1" w:rsidRDefault="00214641" w14:paraId="527CAB93" w14:textId="13CEF514">
      <w:pPr>
        <w:jc w:val="center"/>
        <w:rPr>
          <w:sz w:val="28"/>
          <w:szCs w:val="28"/>
        </w:rPr>
      </w:pPr>
    </w:p>
    <w:p w:rsidRPr="0027295C" w:rsidR="00214641" w:rsidP="002E4BA1" w:rsidRDefault="00214641" w14:paraId="059CCF78" w14:textId="6D406633">
      <w:pPr>
        <w:jc w:val="center"/>
        <w:rPr>
          <w:sz w:val="28"/>
          <w:szCs w:val="28"/>
        </w:rPr>
      </w:pPr>
      <w:r>
        <w:rPr>
          <w:sz w:val="28"/>
          <w:szCs w:val="28"/>
        </w:rPr>
        <w:t>April 2023</w:t>
      </w:r>
    </w:p>
    <w:p w:rsidR="009E2403" w:rsidP="002E4BA1" w:rsidRDefault="009E2403" w14:paraId="7E042433" w14:textId="7FEDB188">
      <w:pPr>
        <w:jc w:val="center"/>
        <w:rPr>
          <w:b/>
          <w:bCs/>
          <w:sz w:val="32"/>
          <w:szCs w:val="32"/>
          <w:u w:val="single"/>
        </w:rPr>
      </w:pPr>
    </w:p>
    <w:p w:rsidR="009E2403" w:rsidP="002E4BA1" w:rsidRDefault="009E2403" w14:paraId="5CC0BC18" w14:textId="68FCD123">
      <w:pPr>
        <w:jc w:val="center"/>
        <w:rPr>
          <w:b/>
          <w:bCs/>
          <w:sz w:val="32"/>
          <w:szCs w:val="32"/>
          <w:u w:val="single"/>
        </w:rPr>
      </w:pPr>
    </w:p>
    <w:p w:rsidR="009E2403" w:rsidP="002E4BA1" w:rsidRDefault="009E2403" w14:paraId="45F0258C" w14:textId="28DD530A">
      <w:pPr>
        <w:jc w:val="center"/>
        <w:rPr>
          <w:b/>
          <w:bCs/>
          <w:sz w:val="32"/>
          <w:szCs w:val="32"/>
          <w:u w:val="single"/>
        </w:rPr>
      </w:pPr>
    </w:p>
    <w:p w:rsidR="009E2403" w:rsidP="002E4BA1" w:rsidRDefault="009E2403" w14:paraId="4DC75EAE" w14:textId="74880DF4">
      <w:pPr>
        <w:jc w:val="center"/>
        <w:rPr>
          <w:b/>
          <w:bCs/>
          <w:sz w:val="32"/>
          <w:szCs w:val="32"/>
          <w:u w:val="single"/>
        </w:rPr>
      </w:pPr>
    </w:p>
    <w:p w:rsidR="009E2403" w:rsidP="002E4BA1" w:rsidRDefault="009E2403" w14:paraId="228C3431" w14:textId="1975A524">
      <w:pPr>
        <w:jc w:val="center"/>
        <w:rPr>
          <w:b/>
          <w:bCs/>
          <w:sz w:val="32"/>
          <w:szCs w:val="32"/>
          <w:u w:val="single"/>
        </w:rPr>
      </w:pPr>
    </w:p>
    <w:p w:rsidR="00DD24B2" w:rsidP="002E4BA1" w:rsidRDefault="00DD24B2" w14:paraId="514D158B" w14:textId="15404992">
      <w:pPr>
        <w:jc w:val="center"/>
        <w:rPr>
          <w:b/>
          <w:bCs/>
          <w:sz w:val="32"/>
          <w:szCs w:val="32"/>
          <w:u w:val="single"/>
        </w:rPr>
      </w:pPr>
    </w:p>
    <w:p w:rsidR="00DD24B2" w:rsidP="002E4BA1" w:rsidRDefault="00DD24B2" w14:paraId="5E5311DF" w14:textId="33E17BD1">
      <w:pPr>
        <w:jc w:val="center"/>
        <w:rPr>
          <w:b/>
          <w:bCs/>
          <w:sz w:val="32"/>
          <w:szCs w:val="32"/>
          <w:u w:val="single"/>
        </w:rPr>
      </w:pPr>
    </w:p>
    <w:p w:rsidR="00DD24B2" w:rsidP="002E4BA1" w:rsidRDefault="00DD24B2" w14:paraId="6C57D8AA" w14:textId="011FE680">
      <w:pPr>
        <w:jc w:val="center"/>
        <w:rPr>
          <w:b/>
          <w:bCs/>
          <w:sz w:val="32"/>
          <w:szCs w:val="32"/>
          <w:u w:val="single"/>
        </w:rPr>
      </w:pPr>
    </w:p>
    <w:p w:rsidR="00DD24B2" w:rsidP="002E4BA1" w:rsidRDefault="00DD24B2" w14:paraId="3FDA6FFA" w14:textId="3A069B7E">
      <w:pPr>
        <w:jc w:val="center"/>
        <w:rPr>
          <w:b/>
          <w:bCs/>
          <w:sz w:val="32"/>
          <w:szCs w:val="32"/>
          <w:u w:val="single"/>
        </w:rPr>
      </w:pPr>
    </w:p>
    <w:p w:rsidR="00DD24B2" w:rsidP="002E4BA1" w:rsidRDefault="00DD24B2" w14:paraId="2A8815A1" w14:textId="41B287B2">
      <w:pPr>
        <w:jc w:val="center"/>
        <w:rPr>
          <w:b/>
          <w:bCs/>
          <w:sz w:val="32"/>
          <w:szCs w:val="32"/>
          <w:u w:val="single"/>
        </w:rPr>
      </w:pPr>
    </w:p>
    <w:p w:rsidR="00DD24B2" w:rsidP="002E4BA1" w:rsidRDefault="00DD24B2" w14:paraId="790C9911" w14:textId="73592678">
      <w:pPr>
        <w:jc w:val="center"/>
        <w:rPr>
          <w:b/>
          <w:bCs/>
          <w:sz w:val="32"/>
          <w:szCs w:val="32"/>
          <w:u w:val="single"/>
        </w:rPr>
      </w:pPr>
    </w:p>
    <w:p w:rsidR="00DD24B2" w:rsidP="002E4BA1" w:rsidRDefault="00DD24B2" w14:paraId="3E25CF31" w14:textId="4B8A5F8B">
      <w:pPr>
        <w:jc w:val="center"/>
        <w:rPr>
          <w:b/>
          <w:bCs/>
          <w:sz w:val="32"/>
          <w:szCs w:val="32"/>
          <w:u w:val="single"/>
        </w:rPr>
      </w:pPr>
    </w:p>
    <w:p w:rsidR="00DD24B2" w:rsidP="002E4BA1" w:rsidRDefault="00DD24B2" w14:paraId="1680420C" w14:textId="51728513">
      <w:pPr>
        <w:jc w:val="center"/>
        <w:rPr>
          <w:b/>
          <w:bCs/>
          <w:sz w:val="32"/>
          <w:szCs w:val="32"/>
          <w:u w:val="single"/>
        </w:rPr>
      </w:pPr>
    </w:p>
    <w:p w:rsidR="00DD24B2" w:rsidP="002E4BA1" w:rsidRDefault="00DD24B2" w14:paraId="31680504" w14:textId="7E953F7E">
      <w:pPr>
        <w:jc w:val="center"/>
        <w:rPr>
          <w:b/>
          <w:bCs/>
          <w:sz w:val="32"/>
          <w:szCs w:val="32"/>
          <w:u w:val="single"/>
        </w:rPr>
      </w:pPr>
    </w:p>
    <w:p w:rsidR="00DD24B2" w:rsidP="002E4BA1" w:rsidRDefault="00DD24B2" w14:paraId="3EB1CB32" w14:textId="45CD11E8">
      <w:pPr>
        <w:jc w:val="center"/>
        <w:rPr>
          <w:b/>
          <w:bCs/>
          <w:sz w:val="32"/>
          <w:szCs w:val="32"/>
          <w:u w:val="single"/>
        </w:rPr>
      </w:pPr>
    </w:p>
    <w:p w:rsidR="00DD24B2" w:rsidP="002E4BA1" w:rsidRDefault="00DD24B2" w14:paraId="6734DBD4" w14:textId="77777777">
      <w:pPr>
        <w:jc w:val="center"/>
        <w:rPr>
          <w:b/>
          <w:bCs/>
          <w:sz w:val="32"/>
          <w:szCs w:val="32"/>
          <w:u w:val="single"/>
        </w:rPr>
      </w:pPr>
    </w:p>
    <w:p w:rsidR="009E2403" w:rsidP="002E4BA1" w:rsidRDefault="009E2403" w14:paraId="5B2F34CE" w14:textId="3D09B627">
      <w:pPr>
        <w:jc w:val="center"/>
        <w:rPr>
          <w:b/>
          <w:bCs/>
          <w:sz w:val="32"/>
          <w:szCs w:val="32"/>
          <w:u w:val="single"/>
        </w:rPr>
      </w:pPr>
    </w:p>
    <w:p w:rsidR="009E2403" w:rsidP="002E4BA1" w:rsidRDefault="009E2403" w14:paraId="389DBE8D" w14:textId="16A3EC89">
      <w:pPr>
        <w:jc w:val="center"/>
        <w:rPr>
          <w:b/>
          <w:bCs/>
          <w:sz w:val="32"/>
          <w:szCs w:val="32"/>
          <w:u w:val="single"/>
        </w:rPr>
      </w:pPr>
    </w:p>
    <w:p w:rsidR="009E2403" w:rsidP="002E4BA1" w:rsidRDefault="009E2403" w14:paraId="29B5F7EC" w14:textId="44F4DC65">
      <w:pPr>
        <w:jc w:val="center"/>
        <w:rPr>
          <w:b/>
          <w:bCs/>
          <w:sz w:val="32"/>
          <w:szCs w:val="32"/>
          <w:u w:val="single"/>
        </w:rPr>
      </w:pPr>
    </w:p>
    <w:p w:rsidR="009E2403" w:rsidP="00E6236B" w:rsidRDefault="005C2671" w14:paraId="00B7E95C" w14:textId="29A08AC9">
      <w:pPr>
        <w:rPr>
          <w:b/>
          <w:bCs/>
          <w:color w:val="002060"/>
          <w:sz w:val="28"/>
          <w:szCs w:val="28"/>
          <w:u w:val="single"/>
        </w:rPr>
      </w:pPr>
      <w:r>
        <w:rPr>
          <w:b/>
          <w:bCs/>
          <w:color w:val="002060"/>
          <w:sz w:val="28"/>
          <w:szCs w:val="28"/>
          <w:u w:val="single"/>
        </w:rPr>
        <w:t xml:space="preserve">Table of </w:t>
      </w:r>
      <w:r w:rsidRPr="00C94CDC" w:rsidR="00E6236B">
        <w:rPr>
          <w:b/>
          <w:bCs/>
          <w:color w:val="002060"/>
          <w:sz w:val="28"/>
          <w:szCs w:val="28"/>
          <w:u w:val="single"/>
        </w:rPr>
        <w:t>Contents</w:t>
      </w:r>
    </w:p>
    <w:p w:rsidR="00E47C23" w:rsidP="00E6236B" w:rsidRDefault="00E47C23" w14:paraId="47A75883" w14:textId="77777777">
      <w:pPr>
        <w:rPr>
          <w:b/>
          <w:bCs/>
          <w:color w:val="002060"/>
          <w:sz w:val="28"/>
          <w:szCs w:val="28"/>
          <w:u w:val="single"/>
        </w:rPr>
      </w:pPr>
    </w:p>
    <w:p w:rsidR="00D721F3" w:rsidP="00E6236B" w:rsidRDefault="00D721F3" w14:paraId="52B3C84D" w14:textId="48581645">
      <w:r>
        <w:t>Executive Summary</w:t>
      </w:r>
      <w:r w:rsidR="00AD0DA6">
        <w:t xml:space="preserve"> </w:t>
      </w:r>
      <w:r w:rsidR="0078701F">
        <w:t>…………………………………………………………………………………………………………</w:t>
      </w:r>
      <w:r w:rsidR="009F0328">
        <w:tab/>
      </w:r>
      <w:r w:rsidR="00FC7A75">
        <w:t>4</w:t>
      </w:r>
    </w:p>
    <w:p w:rsidR="008055D8" w:rsidP="0068552C" w:rsidRDefault="0068552C" w14:paraId="7CAEF4B6" w14:textId="1CB0A102">
      <w:r>
        <w:t>1.</w:t>
      </w:r>
      <w:r w:rsidR="007F0D0E">
        <w:t xml:space="preserve"> </w:t>
      </w:r>
      <w:r w:rsidR="008055D8">
        <w:t>Introduction</w:t>
      </w:r>
      <w:r w:rsidR="00AD0DA6">
        <w:t xml:space="preserve"> </w:t>
      </w:r>
      <w:r w:rsidR="0078701F">
        <w:t>…………………………………………………………………………………………………………………</w:t>
      </w:r>
      <w:r w:rsidR="009F0328">
        <w:tab/>
      </w:r>
      <w:r w:rsidR="00FC7A75">
        <w:t>5</w:t>
      </w:r>
    </w:p>
    <w:p w:rsidR="008055D8" w:rsidP="00E6236B" w:rsidRDefault="0068552C" w14:paraId="0C343061" w14:textId="3EF4F72D">
      <w:r>
        <w:t>2.</w:t>
      </w:r>
      <w:r w:rsidR="007F0D0E">
        <w:t xml:space="preserve"> </w:t>
      </w:r>
      <w:r w:rsidR="00A34AFE">
        <w:t>Methodology</w:t>
      </w:r>
      <w:r w:rsidR="00AD0DA6">
        <w:t xml:space="preserve"> </w:t>
      </w:r>
      <w:r w:rsidR="0078701F">
        <w:t>……………………………………………………………………………………………………………</w:t>
      </w:r>
      <w:r w:rsidR="009F0328">
        <w:t>….</w:t>
      </w:r>
      <w:r w:rsidR="009F0328">
        <w:tab/>
      </w:r>
      <w:r w:rsidR="00FC7A75">
        <w:t>8</w:t>
      </w:r>
    </w:p>
    <w:p w:rsidR="00A34AFE" w:rsidP="00E6236B" w:rsidRDefault="0068552C" w14:paraId="191A6C26" w14:textId="018FAF2D">
      <w:r>
        <w:t>3.</w:t>
      </w:r>
      <w:r w:rsidR="007F0D0E">
        <w:t xml:space="preserve"> </w:t>
      </w:r>
      <w:r w:rsidR="00A34AFE">
        <w:t>Recent High-Profile Legal Cases</w:t>
      </w:r>
      <w:r w:rsidR="00AD0DA6">
        <w:t xml:space="preserve"> </w:t>
      </w:r>
      <w:r w:rsidR="0078701F">
        <w:t>………………………………………………………………………………</w:t>
      </w:r>
      <w:r w:rsidR="009F0328">
        <w:t>…..</w:t>
      </w:r>
      <w:r w:rsidR="009F0328">
        <w:tab/>
      </w:r>
      <w:r w:rsidR="00FC7A75">
        <w:t>9</w:t>
      </w:r>
    </w:p>
    <w:p w:rsidR="00A34AFE" w:rsidP="00E6236B" w:rsidRDefault="0068552C" w14:paraId="0102437F" w14:textId="7D2D4249">
      <w:r>
        <w:t>4.</w:t>
      </w:r>
      <w:r w:rsidR="007F0D0E">
        <w:t xml:space="preserve"> </w:t>
      </w:r>
      <w:r>
        <w:t>Findings</w:t>
      </w:r>
      <w:r w:rsidR="00AD0DA6">
        <w:t xml:space="preserve"> </w:t>
      </w:r>
      <w:r w:rsidR="00913ADB">
        <w:t>…………………………………………………………………………………………………………………</w:t>
      </w:r>
      <w:r w:rsidR="00A01FBA">
        <w:t>…….</w:t>
      </w:r>
      <w:r w:rsidR="009F0328">
        <w:tab/>
      </w:r>
      <w:r w:rsidR="002178D6">
        <w:t>11</w:t>
      </w:r>
    </w:p>
    <w:p w:rsidR="00D721F3" w:rsidP="00B16AFD" w:rsidRDefault="00B16AFD" w14:paraId="2664676A" w14:textId="45E11B4C">
      <w:pPr>
        <w:pStyle w:val="ListParagraph"/>
        <w:ind w:left="360"/>
      </w:pPr>
      <w:r>
        <w:t xml:space="preserve">A: Causes of </w:t>
      </w:r>
      <w:r w:rsidR="00404294">
        <w:t>D</w:t>
      </w:r>
      <w:r>
        <w:t>isagreement</w:t>
      </w:r>
      <w:r w:rsidR="00AD0DA6">
        <w:t xml:space="preserve"> </w:t>
      </w:r>
      <w:r w:rsidR="00FC7A75">
        <w:t>………………………………………………………………………………………</w:t>
      </w:r>
      <w:r w:rsidR="00A01FBA">
        <w:t>.</w:t>
      </w:r>
      <w:r w:rsidR="00A01FBA">
        <w:tab/>
      </w:r>
      <w:r w:rsidR="00AD0DA6">
        <w:t>11</w:t>
      </w:r>
    </w:p>
    <w:p w:rsidR="00B16AFD" w:rsidP="002041F6" w:rsidRDefault="002041F6" w14:paraId="2F801BAE" w14:textId="6D2FDDEC">
      <w:r>
        <w:t xml:space="preserve">                              i)</w:t>
      </w:r>
      <w:r w:rsidR="26A6CD85">
        <w:t xml:space="preserve"> </w:t>
      </w:r>
      <w:r w:rsidR="00DA5082">
        <w:t xml:space="preserve">Psychological </w:t>
      </w:r>
      <w:r w:rsidR="00404294">
        <w:t>r</w:t>
      </w:r>
      <w:r w:rsidR="00DA5082">
        <w:t>esponses</w:t>
      </w:r>
      <w:r w:rsidR="005700EC">
        <w:t xml:space="preserve"> </w:t>
      </w:r>
      <w:r w:rsidR="00FC7A75">
        <w:t>……………………………………………………………………</w:t>
      </w:r>
      <w:r w:rsidR="00A01FBA">
        <w:t>…</w:t>
      </w:r>
      <w:r w:rsidR="005700EC">
        <w:t>12</w:t>
      </w:r>
    </w:p>
    <w:p w:rsidR="00DA5082" w:rsidP="00DA5082" w:rsidRDefault="00DA5082" w14:paraId="652BC2B6" w14:textId="35D64FC9">
      <w:pPr>
        <w:pStyle w:val="ListParagraph"/>
        <w:ind w:left="1440"/>
      </w:pPr>
      <w:r>
        <w:t>ii)</w:t>
      </w:r>
      <w:r w:rsidR="0046676D">
        <w:t xml:space="preserve"> </w:t>
      </w:r>
      <w:r w:rsidR="00404294">
        <w:t>Differenc</w:t>
      </w:r>
      <w:r w:rsidR="0046676D">
        <w:t>e</w:t>
      </w:r>
      <w:r w:rsidR="00404294">
        <w:t xml:space="preserve">s relating to religious </w:t>
      </w:r>
      <w:r w:rsidR="00502D2F">
        <w:t>beliefs and moral values</w:t>
      </w:r>
      <w:r w:rsidR="005700EC">
        <w:t xml:space="preserve"> </w:t>
      </w:r>
      <w:r w:rsidR="00FC7A75">
        <w:t>…………………</w:t>
      </w:r>
      <w:r w:rsidR="00A01FBA">
        <w:t>..</w:t>
      </w:r>
      <w:r w:rsidR="00A01FBA">
        <w:tab/>
      </w:r>
      <w:r w:rsidR="00FC3AC5">
        <w:t>14</w:t>
      </w:r>
    </w:p>
    <w:p w:rsidR="00502D2F" w:rsidP="00DA5082" w:rsidRDefault="00502D2F" w14:paraId="5A646A84" w14:textId="1517707D">
      <w:pPr>
        <w:pStyle w:val="ListParagraph"/>
        <w:ind w:left="1440"/>
      </w:pPr>
      <w:r>
        <w:t>iii) Expectations of medical treatment</w:t>
      </w:r>
      <w:r w:rsidR="00FC3AC5">
        <w:t xml:space="preserve"> </w:t>
      </w:r>
      <w:r w:rsidR="00FC7A75">
        <w:t>…………………………………………………</w:t>
      </w:r>
      <w:r w:rsidR="00A01FBA">
        <w:t>….</w:t>
      </w:r>
      <w:r w:rsidR="00FC3AC5">
        <w:t>17</w:t>
      </w:r>
    </w:p>
    <w:p w:rsidR="00502D2F" w:rsidP="00DA5082" w:rsidRDefault="00502D2F" w14:paraId="76ADFC3F" w14:textId="63734800">
      <w:pPr>
        <w:pStyle w:val="ListParagraph"/>
        <w:ind w:left="1440"/>
      </w:pPr>
      <w:r>
        <w:t>iv) Communication, roles and processes</w:t>
      </w:r>
      <w:r w:rsidR="00FC3AC5">
        <w:t xml:space="preserve"> ………………………………………………</w:t>
      </w:r>
      <w:r w:rsidR="00A01FBA">
        <w:t>..</w:t>
      </w:r>
      <w:r w:rsidR="00A01FBA">
        <w:tab/>
      </w:r>
      <w:r w:rsidR="008724F8">
        <w:t>18</w:t>
      </w:r>
    </w:p>
    <w:p w:rsidR="00502D2F" w:rsidP="00DA5082" w:rsidRDefault="00502D2F" w14:paraId="3D462FBA" w14:textId="477F0ED9">
      <w:pPr>
        <w:pStyle w:val="ListParagraph"/>
        <w:ind w:left="1440"/>
      </w:pPr>
      <w:r>
        <w:t>v) Interactions between professionals and families</w:t>
      </w:r>
      <w:r w:rsidR="00ED06AE">
        <w:t xml:space="preserve"> ………………………………</w:t>
      </w:r>
      <w:r w:rsidR="00A01FBA">
        <w:t>..</w:t>
      </w:r>
      <w:r w:rsidR="00A01FBA">
        <w:tab/>
      </w:r>
      <w:r w:rsidR="00ED06AE">
        <w:t>20</w:t>
      </w:r>
    </w:p>
    <w:p w:rsidR="00502D2F" w:rsidP="00DA5082" w:rsidRDefault="00502D2F" w14:paraId="0E90A257" w14:textId="29EE2226">
      <w:pPr>
        <w:pStyle w:val="ListParagraph"/>
        <w:ind w:left="1440"/>
      </w:pPr>
      <w:r>
        <w:t>vi)</w:t>
      </w:r>
      <w:r w:rsidR="6A3ABBA6">
        <w:t xml:space="preserve"> </w:t>
      </w:r>
      <w:r w:rsidR="00F8023B">
        <w:t>Alternative sources of information, distrust of doctors</w:t>
      </w:r>
      <w:r w:rsidR="00ED06AE">
        <w:t xml:space="preserve"> ………………………</w:t>
      </w:r>
      <w:r w:rsidR="00C47415">
        <w:t>20</w:t>
      </w:r>
    </w:p>
    <w:p w:rsidR="00F8023B" w:rsidP="00DA5082" w:rsidRDefault="00F8023B" w14:paraId="231284BB" w14:textId="243C1FC0">
      <w:pPr>
        <w:pStyle w:val="ListParagraph"/>
        <w:ind w:left="1440"/>
      </w:pPr>
      <w:r>
        <w:t xml:space="preserve">     and the role of social media</w:t>
      </w:r>
    </w:p>
    <w:p w:rsidR="00F8023B" w:rsidP="00DA5082" w:rsidRDefault="00F8023B" w14:paraId="19DD3B9B" w14:textId="7C9494F2">
      <w:pPr>
        <w:pStyle w:val="ListParagraph"/>
        <w:ind w:left="1440"/>
      </w:pPr>
      <w:r>
        <w:t xml:space="preserve">vii) </w:t>
      </w:r>
      <w:r w:rsidR="00214C08">
        <w:t>Third-party involvement</w:t>
      </w:r>
      <w:r w:rsidR="00C47415">
        <w:t xml:space="preserve"> …………………………………………………………………</w:t>
      </w:r>
      <w:r w:rsidR="003A5CCF">
        <w:t>..</w:t>
      </w:r>
      <w:r w:rsidR="003A5CCF">
        <w:tab/>
      </w:r>
      <w:r w:rsidR="003A5CCF">
        <w:t>22</w:t>
      </w:r>
    </w:p>
    <w:p w:rsidR="00B95A05" w:rsidP="00C3466F" w:rsidRDefault="0071474F" w14:paraId="675D70A7" w14:textId="434953BF">
      <w:pPr>
        <w:pStyle w:val="ListParagraph"/>
        <w:ind w:left="1440"/>
      </w:pPr>
      <w:r>
        <w:t xml:space="preserve">viii) </w:t>
      </w:r>
      <w:r w:rsidR="00B10857">
        <w:t>Alternative treatment and medical tourism</w:t>
      </w:r>
      <w:r w:rsidR="00C47415">
        <w:t xml:space="preserve"> ……………………………………</w:t>
      </w:r>
      <w:r w:rsidR="003A5CCF">
        <w:t>.</w:t>
      </w:r>
      <w:r w:rsidR="003A5CCF">
        <w:tab/>
      </w:r>
      <w:r w:rsidR="00921535">
        <w:t>23</w:t>
      </w:r>
    </w:p>
    <w:p w:rsidR="00B95585" w:rsidP="00C3466F" w:rsidRDefault="00B95585" w14:paraId="75ED9F5E" w14:textId="25DC6DED">
      <w:pPr>
        <w:pStyle w:val="ListParagraph"/>
        <w:ind w:left="1440"/>
      </w:pPr>
      <w:r>
        <w:t>Summary ……………………………………………………………………………………………</w:t>
      </w:r>
      <w:r w:rsidR="003A5CCF">
        <w:t>…..</w:t>
      </w:r>
      <w:r w:rsidR="003A5CCF">
        <w:tab/>
      </w:r>
      <w:r w:rsidR="00802202">
        <w:t>24</w:t>
      </w:r>
    </w:p>
    <w:p w:rsidR="00B10857" w:rsidP="00B10857" w:rsidRDefault="00B10857" w14:paraId="77D69670" w14:textId="24BA3184">
      <w:r>
        <w:t xml:space="preserve">       B: Impact of Disagreement</w:t>
      </w:r>
      <w:r w:rsidR="00921535">
        <w:t xml:space="preserve"> ……………………………………………………………………………………</w:t>
      </w:r>
      <w:r w:rsidR="003A5CCF">
        <w:t>…..</w:t>
      </w:r>
      <w:r w:rsidR="003A5CCF">
        <w:tab/>
      </w:r>
      <w:r w:rsidR="00921535">
        <w:t>24</w:t>
      </w:r>
    </w:p>
    <w:p w:rsidR="00B10857" w:rsidP="002D7981" w:rsidRDefault="002D7981" w14:paraId="250A30B9" w14:textId="712AC8E3">
      <w:pPr>
        <w:ind w:left="720" w:firstLine="720"/>
      </w:pPr>
      <w:r>
        <w:t>i)</w:t>
      </w:r>
      <w:r w:rsidR="078C3039">
        <w:t xml:space="preserve"> </w:t>
      </w:r>
      <w:r>
        <w:t>On the child</w:t>
      </w:r>
      <w:r w:rsidR="00921535">
        <w:t xml:space="preserve"> ………………………………………………………………………………………</w:t>
      </w:r>
      <w:r w:rsidR="003A5CCF">
        <w:t>….</w:t>
      </w:r>
      <w:r w:rsidR="00921535">
        <w:t>24</w:t>
      </w:r>
    </w:p>
    <w:p w:rsidR="002D7981" w:rsidP="002D7981" w:rsidRDefault="002D7981" w14:paraId="6637C535" w14:textId="29B15F05">
      <w:r>
        <w:tab/>
      </w:r>
      <w:r>
        <w:tab/>
      </w:r>
      <w:r>
        <w:t>ii) On the family</w:t>
      </w:r>
      <w:r w:rsidR="00921535">
        <w:t xml:space="preserve"> ……………………………………………………………………………………</w:t>
      </w:r>
      <w:r w:rsidR="003A5CCF">
        <w:t>..</w:t>
      </w:r>
      <w:r w:rsidR="003A5CCF">
        <w:tab/>
      </w:r>
      <w:r w:rsidR="00966AB0">
        <w:t>25</w:t>
      </w:r>
    </w:p>
    <w:p w:rsidR="002D7981" w:rsidP="002D7981" w:rsidRDefault="002D7981" w14:paraId="1A04D940" w14:textId="50D97FE6">
      <w:r>
        <w:tab/>
      </w:r>
      <w:r>
        <w:tab/>
      </w:r>
      <w:r>
        <w:t>iii) On the health care professionals</w:t>
      </w:r>
      <w:r w:rsidR="00966AB0">
        <w:t xml:space="preserve"> ………………………………………………………</w:t>
      </w:r>
      <w:r w:rsidR="003A5CCF">
        <w:t>.</w:t>
      </w:r>
      <w:r w:rsidR="003A5CCF">
        <w:tab/>
      </w:r>
      <w:r w:rsidR="00966AB0">
        <w:t>28</w:t>
      </w:r>
    </w:p>
    <w:p w:rsidR="002D7981" w:rsidP="002D7981" w:rsidRDefault="002D7981" w14:paraId="796CBC1E" w14:textId="75C8C82C">
      <w:r>
        <w:tab/>
      </w:r>
      <w:r>
        <w:tab/>
      </w:r>
      <w:r>
        <w:t>iv) On the N</w:t>
      </w:r>
      <w:r w:rsidR="005A6FB6">
        <w:t>ational Health Service and wider society</w:t>
      </w:r>
      <w:r w:rsidR="00966AB0">
        <w:t xml:space="preserve"> ……………………………</w:t>
      </w:r>
      <w:r w:rsidR="003A5CCF">
        <w:t>..</w:t>
      </w:r>
      <w:r w:rsidR="003A5CCF">
        <w:tab/>
      </w:r>
      <w:r w:rsidR="00CC2F02">
        <w:t>29</w:t>
      </w:r>
    </w:p>
    <w:p w:rsidR="00B95585" w:rsidP="002D7981" w:rsidRDefault="00B95585" w14:paraId="2D6FD373" w14:textId="5558C44B">
      <w:r>
        <w:tab/>
      </w:r>
      <w:r>
        <w:tab/>
      </w:r>
      <w:r>
        <w:t>Summary ……………………………………………………………………………………………</w:t>
      </w:r>
      <w:r w:rsidR="003A5CCF">
        <w:t>…..</w:t>
      </w:r>
      <w:r w:rsidR="003A5CCF">
        <w:tab/>
      </w:r>
      <w:r w:rsidR="00CC2F02">
        <w:t>30</w:t>
      </w:r>
    </w:p>
    <w:p w:rsidR="005A6FB6" w:rsidP="005A6FB6" w:rsidRDefault="005A6FB6" w14:paraId="4387A5BB" w14:textId="68677749">
      <w:r>
        <w:t xml:space="preserve">       C: Possible </w:t>
      </w:r>
      <w:r w:rsidR="003F54EA">
        <w:t>Means of Avoiding Disagreement and Resolving</w:t>
      </w:r>
      <w:r w:rsidR="00C67564">
        <w:t xml:space="preserve"> Disputes</w:t>
      </w:r>
      <w:r w:rsidR="001747D7">
        <w:t xml:space="preserve"> ………………………</w:t>
      </w:r>
      <w:r w:rsidR="003A5CCF">
        <w:t>.</w:t>
      </w:r>
      <w:r w:rsidR="003A5CCF">
        <w:tab/>
      </w:r>
      <w:r w:rsidR="00C86CA7">
        <w:t>3</w:t>
      </w:r>
      <w:r w:rsidR="003B2F6E">
        <w:t>0</w:t>
      </w:r>
    </w:p>
    <w:p w:rsidR="00C67564" w:rsidP="006862A7" w:rsidRDefault="006862A7" w14:paraId="14C434F4" w14:textId="6CA7F9EB">
      <w:pPr>
        <w:pStyle w:val="ListParagraph"/>
        <w:ind w:left="1080"/>
      </w:pPr>
      <w:r>
        <w:t xml:space="preserve">        i)</w:t>
      </w:r>
      <w:r w:rsidR="13470925">
        <w:t xml:space="preserve"> </w:t>
      </w:r>
      <w:r w:rsidR="00C67564">
        <w:t>Good communication</w:t>
      </w:r>
      <w:r w:rsidR="00C86CA7">
        <w:t xml:space="preserve"> …………………………………………………………………………</w:t>
      </w:r>
      <w:r w:rsidR="003A5CCF">
        <w:t>.</w:t>
      </w:r>
      <w:r>
        <w:t>3</w:t>
      </w:r>
      <w:r w:rsidR="003B2F6E">
        <w:t>0</w:t>
      </w:r>
    </w:p>
    <w:p w:rsidR="00C67564" w:rsidP="00C67564" w:rsidRDefault="00C67564" w14:paraId="35F87486" w14:textId="74040AE9">
      <w:r>
        <w:tab/>
      </w:r>
      <w:r>
        <w:tab/>
      </w:r>
      <w:r>
        <w:t>ii)</w:t>
      </w:r>
      <w:r w:rsidR="006862A7">
        <w:t xml:space="preserve"> </w:t>
      </w:r>
      <w:r w:rsidR="00E31865">
        <w:t>Managerial processes and Conflict Management Frameworks</w:t>
      </w:r>
      <w:r w:rsidR="004D4826">
        <w:t xml:space="preserve"> …………</w:t>
      </w:r>
      <w:r w:rsidR="003A5CCF">
        <w:t>..</w:t>
      </w:r>
      <w:r w:rsidR="003A5CCF">
        <w:tab/>
      </w:r>
      <w:r w:rsidR="004D4826">
        <w:t>3</w:t>
      </w:r>
      <w:r w:rsidR="003B2F6E">
        <w:t>3</w:t>
      </w:r>
    </w:p>
    <w:p w:rsidR="00E31865" w:rsidP="00C67564" w:rsidRDefault="00E31865" w14:paraId="7D096916" w14:textId="4F7E7233">
      <w:r>
        <w:tab/>
      </w:r>
      <w:r>
        <w:tab/>
      </w:r>
      <w:r>
        <w:t>iii) Expert second opinion</w:t>
      </w:r>
      <w:r w:rsidR="004D4826">
        <w:t xml:space="preserve"> ……………………………………………………………………</w:t>
      </w:r>
      <w:r w:rsidR="003A5CCF">
        <w:t>….</w:t>
      </w:r>
      <w:r w:rsidR="003A5CCF">
        <w:tab/>
      </w:r>
      <w:r w:rsidR="00BF13DA">
        <w:t>3</w:t>
      </w:r>
      <w:r w:rsidR="003B2F6E">
        <w:t>4</w:t>
      </w:r>
    </w:p>
    <w:p w:rsidR="00E31865" w:rsidP="00C67564" w:rsidRDefault="00E31865" w14:paraId="4D438EB6" w14:textId="388F03C9">
      <w:r>
        <w:tab/>
      </w:r>
      <w:r>
        <w:tab/>
      </w:r>
      <w:r>
        <w:t>iv)</w:t>
      </w:r>
      <w:r w:rsidR="007A4383">
        <w:t xml:space="preserve"> Clinical Ethics Committees and </w:t>
      </w:r>
      <w:r w:rsidR="00A155B2">
        <w:t>other resolution forums</w:t>
      </w:r>
      <w:r w:rsidR="00DC2004">
        <w:t xml:space="preserve"> …………………</w:t>
      </w:r>
      <w:r w:rsidR="003A5CCF">
        <w:t>…</w:t>
      </w:r>
      <w:r w:rsidR="003A5CCF">
        <w:tab/>
      </w:r>
      <w:r w:rsidR="00763AAF">
        <w:t>3</w:t>
      </w:r>
      <w:r w:rsidR="003B2F6E">
        <w:t>5</w:t>
      </w:r>
    </w:p>
    <w:p w:rsidR="00A155B2" w:rsidP="00C67564" w:rsidRDefault="00A155B2" w14:paraId="1EE7E78B" w14:textId="0651D85D">
      <w:r>
        <w:tab/>
      </w:r>
      <w:r>
        <w:tab/>
      </w:r>
      <w:r>
        <w:t>v) Mediation</w:t>
      </w:r>
      <w:r w:rsidR="00763AAF">
        <w:t xml:space="preserve"> ………………………………………………………………………………………</w:t>
      </w:r>
      <w:r w:rsidR="003A5CCF">
        <w:t>…..</w:t>
      </w:r>
      <w:r w:rsidR="003A5CCF">
        <w:tab/>
      </w:r>
      <w:r w:rsidR="00CD2096">
        <w:t>3</w:t>
      </w:r>
      <w:r w:rsidR="00140AB7">
        <w:t>7</w:t>
      </w:r>
    </w:p>
    <w:p w:rsidR="00A155B2" w:rsidP="00C67564" w:rsidRDefault="00A155B2" w14:paraId="63C28F9C" w14:textId="24F5F5BE">
      <w:r>
        <w:tab/>
      </w:r>
      <w:r>
        <w:tab/>
      </w:r>
      <w:r>
        <w:t>vi) Legal Reform – Significant Harm</w:t>
      </w:r>
      <w:r w:rsidR="00CD2096">
        <w:t xml:space="preserve"> …………………………………………………</w:t>
      </w:r>
      <w:r w:rsidR="003A5CCF">
        <w:t>……..</w:t>
      </w:r>
      <w:r w:rsidR="003A5CCF">
        <w:tab/>
      </w:r>
      <w:r w:rsidR="00CD2096">
        <w:t>3</w:t>
      </w:r>
      <w:r w:rsidR="00140AB7">
        <w:t>8</w:t>
      </w:r>
    </w:p>
    <w:p w:rsidR="00A155B2" w:rsidP="00C67564" w:rsidRDefault="00A155B2" w14:paraId="0B0608DE" w14:textId="1AC4D134">
      <w:r>
        <w:tab/>
      </w:r>
      <w:r>
        <w:tab/>
      </w:r>
      <w:r>
        <w:t xml:space="preserve">vii) </w:t>
      </w:r>
      <w:r w:rsidR="00441FB6">
        <w:t>Reinterpreting Best Interests and other possible</w:t>
      </w:r>
      <w:r w:rsidR="00FC74F9">
        <w:t xml:space="preserve"> thresholds</w:t>
      </w:r>
      <w:r w:rsidR="00CD2096">
        <w:t xml:space="preserve"> …………</w:t>
      </w:r>
      <w:r w:rsidR="0028188A">
        <w:t>….</w:t>
      </w:r>
      <w:r w:rsidR="003A5CCF">
        <w:tab/>
      </w:r>
      <w:r w:rsidR="00CD2096">
        <w:t>4</w:t>
      </w:r>
      <w:r w:rsidR="00140AB7">
        <w:t>1</w:t>
      </w:r>
    </w:p>
    <w:p w:rsidR="00FC74F9" w:rsidP="00C67564" w:rsidRDefault="00FC74F9" w14:paraId="44CC4EBF" w14:textId="4BB2621F">
      <w:r>
        <w:tab/>
      </w:r>
      <w:r>
        <w:tab/>
      </w:r>
      <w:r>
        <w:t xml:space="preserve">viii) </w:t>
      </w:r>
      <w:r w:rsidR="00D63CCB">
        <w:t>Problem Solving Courts and other alternatives</w:t>
      </w:r>
      <w:r w:rsidR="00CD2096">
        <w:t xml:space="preserve"> ……………………………</w:t>
      </w:r>
      <w:r w:rsidR="0028188A">
        <w:t>…..</w:t>
      </w:r>
      <w:r w:rsidR="0028188A">
        <w:tab/>
      </w:r>
      <w:r w:rsidR="00CD6350">
        <w:t>4</w:t>
      </w:r>
      <w:r w:rsidR="00140AB7">
        <w:t>4</w:t>
      </w:r>
    </w:p>
    <w:p w:rsidR="00D63CCB" w:rsidP="00C67564" w:rsidRDefault="00D63CCB" w14:paraId="5C5F2DAC" w14:textId="4F22D230">
      <w:r>
        <w:tab/>
      </w:r>
      <w:r>
        <w:tab/>
      </w:r>
      <w:r>
        <w:t>ix) Court</w:t>
      </w:r>
      <w:r w:rsidR="00CD6350">
        <w:t xml:space="preserve"> ………………………………………………………………………………………………</w:t>
      </w:r>
      <w:r w:rsidR="0028188A">
        <w:t>…</w:t>
      </w:r>
      <w:r w:rsidR="0028188A">
        <w:tab/>
      </w:r>
      <w:r w:rsidR="00CD6350">
        <w:t>4</w:t>
      </w:r>
      <w:r w:rsidR="00140AB7">
        <w:t>4</w:t>
      </w:r>
    </w:p>
    <w:p w:rsidR="00B95585" w:rsidP="00C67564" w:rsidRDefault="00B95585" w14:paraId="71649296" w14:textId="531747FE">
      <w:r>
        <w:tab/>
      </w:r>
      <w:r>
        <w:tab/>
      </w:r>
      <w:r>
        <w:t>Summary ………………………………………………………………………………………………</w:t>
      </w:r>
      <w:r w:rsidR="0028188A">
        <w:t>..</w:t>
      </w:r>
      <w:r w:rsidR="0028188A">
        <w:tab/>
      </w:r>
      <w:r w:rsidR="00140AB7">
        <w:t>46</w:t>
      </w:r>
    </w:p>
    <w:p w:rsidR="008420C4" w:rsidP="00C67564" w:rsidRDefault="008420C4" w14:paraId="5040E45E" w14:textId="2877C9C5">
      <w:r>
        <w:t>Conclusion</w:t>
      </w:r>
      <w:r w:rsidR="00CD6350">
        <w:t xml:space="preserve"> ……………………………………………………………………………………………………………………</w:t>
      </w:r>
      <w:r w:rsidR="0028188A">
        <w:t>….</w:t>
      </w:r>
      <w:r w:rsidR="0028188A">
        <w:tab/>
      </w:r>
      <w:r w:rsidR="00CD6350">
        <w:t>4</w:t>
      </w:r>
      <w:r w:rsidR="00217074">
        <w:t>6</w:t>
      </w:r>
    </w:p>
    <w:p w:rsidR="008420C4" w:rsidP="00C67564" w:rsidRDefault="008420C4" w14:paraId="03BE832C" w14:textId="097E983A">
      <w:r>
        <w:t>Bibliography</w:t>
      </w:r>
      <w:r w:rsidR="00CD6350">
        <w:t xml:space="preserve"> ………………………………………………………………………………………………………………</w:t>
      </w:r>
      <w:r w:rsidR="0028188A">
        <w:t>…….</w:t>
      </w:r>
      <w:r w:rsidR="0028188A">
        <w:tab/>
      </w:r>
      <w:r w:rsidR="00217074">
        <w:t>48</w:t>
      </w:r>
    </w:p>
    <w:p w:rsidR="00B10857" w:rsidP="00B10857" w:rsidRDefault="00B10857" w14:paraId="16C9A4DA" w14:textId="77777777"/>
    <w:p w:rsidRPr="00D721F3" w:rsidR="00214C08" w:rsidP="00DA5082" w:rsidRDefault="00214C08" w14:paraId="53CB356A" w14:textId="77777777">
      <w:pPr>
        <w:pStyle w:val="ListParagraph"/>
        <w:ind w:left="1440"/>
      </w:pPr>
    </w:p>
    <w:p w:rsidR="009E2403" w:rsidP="002E4BA1" w:rsidRDefault="009E2403" w14:paraId="0F651475" w14:textId="33CE83FD">
      <w:pPr>
        <w:jc w:val="center"/>
        <w:rPr>
          <w:b/>
          <w:bCs/>
          <w:sz w:val="32"/>
          <w:szCs w:val="32"/>
          <w:u w:val="single"/>
        </w:rPr>
      </w:pPr>
    </w:p>
    <w:p w:rsidR="009E2403" w:rsidP="002E4BA1" w:rsidRDefault="009E2403" w14:paraId="14AA5AF1" w14:textId="666F7919">
      <w:pPr>
        <w:jc w:val="center"/>
        <w:rPr>
          <w:b/>
          <w:bCs/>
          <w:sz w:val="32"/>
          <w:szCs w:val="32"/>
          <w:u w:val="single"/>
        </w:rPr>
      </w:pPr>
    </w:p>
    <w:p w:rsidR="009E2403" w:rsidP="002E4BA1" w:rsidRDefault="009E2403" w14:paraId="5D859659" w14:textId="68E5C9D1">
      <w:pPr>
        <w:jc w:val="center"/>
        <w:rPr>
          <w:b/>
          <w:bCs/>
          <w:sz w:val="32"/>
          <w:szCs w:val="32"/>
          <w:u w:val="single"/>
        </w:rPr>
      </w:pPr>
    </w:p>
    <w:p w:rsidR="00DD24B2" w:rsidP="00FC7A75" w:rsidRDefault="00DD24B2" w14:paraId="74A84DEC" w14:textId="77C23A16">
      <w:pPr>
        <w:rPr>
          <w:b/>
          <w:bCs/>
          <w:sz w:val="32"/>
          <w:szCs w:val="32"/>
          <w:u w:val="single"/>
        </w:rPr>
      </w:pPr>
    </w:p>
    <w:p w:rsidR="00FC7A75" w:rsidP="00FC7A75" w:rsidRDefault="00FC7A75" w14:paraId="0606D9B1" w14:textId="77777777">
      <w:pPr>
        <w:rPr>
          <w:b/>
          <w:bCs/>
          <w:sz w:val="32"/>
          <w:szCs w:val="32"/>
          <w:u w:val="single"/>
        </w:rPr>
      </w:pPr>
    </w:p>
    <w:p w:rsidR="00FC7A75" w:rsidP="00FC7A75" w:rsidRDefault="00FC7A75" w14:paraId="71579910" w14:textId="77777777">
      <w:pPr>
        <w:rPr>
          <w:b/>
          <w:bCs/>
          <w:sz w:val="32"/>
          <w:szCs w:val="32"/>
          <w:u w:val="single"/>
        </w:rPr>
      </w:pPr>
    </w:p>
    <w:p w:rsidR="00FC7A75" w:rsidP="0016374C" w:rsidRDefault="00FC7A75" w14:paraId="337E0DF1" w14:textId="77777777">
      <w:pPr>
        <w:jc w:val="center"/>
        <w:rPr>
          <w:b/>
          <w:bCs/>
          <w:sz w:val="32"/>
          <w:szCs w:val="32"/>
          <w:u w:val="single"/>
        </w:rPr>
      </w:pPr>
    </w:p>
    <w:p w:rsidR="00DD24B2" w:rsidP="002E4BA1" w:rsidRDefault="00DD24B2" w14:paraId="18487B0C" w14:textId="2FA5379A">
      <w:pPr>
        <w:jc w:val="center"/>
        <w:rPr>
          <w:b/>
          <w:bCs/>
          <w:sz w:val="32"/>
          <w:szCs w:val="32"/>
          <w:u w:val="single"/>
        </w:rPr>
      </w:pPr>
    </w:p>
    <w:p w:rsidR="0063372B" w:rsidP="0063372B" w:rsidRDefault="006A42AC" w14:paraId="08DBD330" w14:textId="14FDEF8C">
      <w:pPr>
        <w:rPr>
          <w:b/>
          <w:bCs/>
          <w:color w:val="002060"/>
          <w:sz w:val="28"/>
          <w:szCs w:val="28"/>
          <w:u w:val="single"/>
        </w:rPr>
      </w:pPr>
      <w:r>
        <w:rPr>
          <w:b/>
          <w:bCs/>
          <w:color w:val="002060"/>
          <w:sz w:val="28"/>
          <w:szCs w:val="28"/>
          <w:u w:val="single"/>
        </w:rPr>
        <w:t>List of Abbreviations</w:t>
      </w:r>
    </w:p>
    <w:p w:rsidR="006A42AC" w:rsidP="0063372B" w:rsidRDefault="006A42AC" w14:paraId="3B2BBB5B" w14:textId="77777777">
      <w:pPr>
        <w:rPr>
          <w:b/>
          <w:bCs/>
          <w:color w:val="002060"/>
          <w:sz w:val="28"/>
          <w:szCs w:val="28"/>
          <w:u w:val="single"/>
        </w:rPr>
      </w:pPr>
    </w:p>
    <w:p w:rsidR="007D1DED" w:rsidP="0063372B" w:rsidRDefault="006A42AC" w14:paraId="0E0DE464" w14:textId="77777777">
      <w:pPr>
        <w:rPr>
          <w:color w:val="000000" w:themeColor="text1"/>
        </w:rPr>
      </w:pPr>
      <w:r>
        <w:rPr>
          <w:color w:val="000000" w:themeColor="text1"/>
        </w:rPr>
        <w:t xml:space="preserve">ADHD </w:t>
      </w:r>
      <w:r w:rsidR="00BC5D98">
        <w:rPr>
          <w:color w:val="000000" w:themeColor="text1"/>
        </w:rPr>
        <w:tab/>
      </w:r>
      <w:r w:rsidR="00BC5D98">
        <w:rPr>
          <w:color w:val="000000" w:themeColor="text1"/>
        </w:rPr>
        <w:tab/>
      </w:r>
      <w:r>
        <w:rPr>
          <w:color w:val="000000" w:themeColor="text1"/>
        </w:rPr>
        <w:t>Attention Def</w:t>
      </w:r>
      <w:r w:rsidR="00BC5D98">
        <w:rPr>
          <w:color w:val="000000" w:themeColor="text1"/>
        </w:rPr>
        <w:t xml:space="preserve">icit </w:t>
      </w:r>
      <w:r w:rsidR="007D1DED">
        <w:rPr>
          <w:color w:val="000000" w:themeColor="text1"/>
        </w:rPr>
        <w:t>Hyperactivity Disorder</w:t>
      </w:r>
    </w:p>
    <w:p w:rsidR="007D1DED" w:rsidP="0063372B" w:rsidRDefault="007D1DED" w14:paraId="6D761599" w14:textId="4975E155">
      <w:pPr>
        <w:rPr>
          <w:color w:val="000000" w:themeColor="text1"/>
        </w:rPr>
      </w:pPr>
      <w:r>
        <w:rPr>
          <w:color w:val="000000" w:themeColor="text1"/>
        </w:rPr>
        <w:t>CEC</w:t>
      </w:r>
      <w:r>
        <w:rPr>
          <w:color w:val="000000" w:themeColor="text1"/>
        </w:rPr>
        <w:tab/>
      </w:r>
      <w:r>
        <w:rPr>
          <w:color w:val="000000" w:themeColor="text1"/>
        </w:rPr>
        <w:tab/>
      </w:r>
      <w:r>
        <w:rPr>
          <w:color w:val="000000" w:themeColor="text1"/>
        </w:rPr>
        <w:t>Clinical Ethics Committee</w:t>
      </w:r>
    </w:p>
    <w:p w:rsidR="00566F90" w:rsidP="0063372B" w:rsidRDefault="00566F90" w14:paraId="6D7D3FAC" w14:textId="323BFD8F">
      <w:pPr>
        <w:rPr>
          <w:color w:val="000000" w:themeColor="text1"/>
        </w:rPr>
      </w:pPr>
      <w:r>
        <w:rPr>
          <w:color w:val="000000" w:themeColor="text1"/>
        </w:rPr>
        <w:t>CLC</w:t>
      </w:r>
      <w:r>
        <w:rPr>
          <w:color w:val="000000" w:themeColor="text1"/>
        </w:rPr>
        <w:tab/>
      </w:r>
      <w:r>
        <w:rPr>
          <w:color w:val="000000" w:themeColor="text1"/>
        </w:rPr>
        <w:tab/>
      </w:r>
      <w:r>
        <w:rPr>
          <w:color w:val="000000" w:themeColor="text1"/>
        </w:rPr>
        <w:t>Christian Legal Centre</w:t>
      </w:r>
    </w:p>
    <w:p w:rsidR="006A42AC" w:rsidP="0063372B" w:rsidRDefault="007D1DED" w14:paraId="07E335E3" w14:textId="165E6B43">
      <w:pPr>
        <w:rPr>
          <w:color w:val="000000" w:themeColor="text1"/>
        </w:rPr>
      </w:pPr>
      <w:r>
        <w:rPr>
          <w:color w:val="000000" w:themeColor="text1"/>
        </w:rPr>
        <w:t>CMF</w:t>
      </w:r>
      <w:r>
        <w:rPr>
          <w:color w:val="000000" w:themeColor="text1"/>
        </w:rPr>
        <w:tab/>
      </w:r>
      <w:r>
        <w:rPr>
          <w:color w:val="000000" w:themeColor="text1"/>
        </w:rPr>
        <w:tab/>
      </w:r>
      <w:r>
        <w:rPr>
          <w:color w:val="000000" w:themeColor="text1"/>
        </w:rPr>
        <w:t>Conflict Management Framework</w:t>
      </w:r>
      <w:r w:rsidR="006A42AC">
        <w:rPr>
          <w:color w:val="000000" w:themeColor="text1"/>
        </w:rPr>
        <w:t xml:space="preserve"> </w:t>
      </w:r>
    </w:p>
    <w:p w:rsidR="007D1DED" w:rsidP="0063372B" w:rsidRDefault="007D1DED" w14:paraId="56174C59" w14:textId="0A9FF83A">
      <w:pPr>
        <w:rPr>
          <w:color w:val="000000" w:themeColor="text1"/>
        </w:rPr>
      </w:pPr>
      <w:r>
        <w:rPr>
          <w:color w:val="000000" w:themeColor="text1"/>
        </w:rPr>
        <w:t>ECHR</w:t>
      </w:r>
      <w:r>
        <w:rPr>
          <w:color w:val="000000" w:themeColor="text1"/>
        </w:rPr>
        <w:tab/>
      </w:r>
      <w:r>
        <w:rPr>
          <w:color w:val="000000" w:themeColor="text1"/>
        </w:rPr>
        <w:tab/>
      </w:r>
      <w:r>
        <w:rPr>
          <w:color w:val="000000" w:themeColor="text1"/>
        </w:rPr>
        <w:t>European Convention on Human Rights</w:t>
      </w:r>
    </w:p>
    <w:p w:rsidR="007D1DED" w:rsidP="0063372B" w:rsidRDefault="007D1DED" w14:paraId="197C4380" w14:textId="0C8D6776">
      <w:pPr>
        <w:rPr>
          <w:color w:val="000000" w:themeColor="text1"/>
        </w:rPr>
      </w:pPr>
      <w:r>
        <w:rPr>
          <w:color w:val="000000" w:themeColor="text1"/>
        </w:rPr>
        <w:t>ECtHR</w:t>
      </w:r>
      <w:r>
        <w:rPr>
          <w:color w:val="000000" w:themeColor="text1"/>
        </w:rPr>
        <w:tab/>
      </w:r>
      <w:r>
        <w:rPr>
          <w:color w:val="000000" w:themeColor="text1"/>
        </w:rPr>
        <w:tab/>
      </w:r>
      <w:r>
        <w:rPr>
          <w:color w:val="000000" w:themeColor="text1"/>
        </w:rPr>
        <w:t>E</w:t>
      </w:r>
      <w:r w:rsidR="00D72D5F">
        <w:rPr>
          <w:color w:val="000000" w:themeColor="text1"/>
        </w:rPr>
        <w:t>uropean Court of Human Rights</w:t>
      </w:r>
    </w:p>
    <w:p w:rsidR="007D1DED" w:rsidP="0063372B" w:rsidRDefault="007D1DED" w14:paraId="04C353A3" w14:textId="581E2B18">
      <w:pPr>
        <w:rPr>
          <w:color w:val="000000" w:themeColor="text1"/>
        </w:rPr>
      </w:pPr>
      <w:r>
        <w:rPr>
          <w:color w:val="000000" w:themeColor="text1"/>
        </w:rPr>
        <w:t>GOSH</w:t>
      </w:r>
      <w:r>
        <w:rPr>
          <w:color w:val="000000" w:themeColor="text1"/>
        </w:rPr>
        <w:tab/>
      </w:r>
      <w:r>
        <w:rPr>
          <w:color w:val="000000" w:themeColor="text1"/>
        </w:rPr>
        <w:tab/>
      </w:r>
      <w:r>
        <w:rPr>
          <w:color w:val="000000" w:themeColor="text1"/>
        </w:rPr>
        <w:t>Great Ormond Street Hospital</w:t>
      </w:r>
    </w:p>
    <w:p w:rsidR="0071474F" w:rsidP="0063372B" w:rsidRDefault="0071474F" w14:paraId="682EAA6C" w14:textId="2557FE90">
      <w:pPr>
        <w:rPr>
          <w:color w:val="000000" w:themeColor="text1"/>
        </w:rPr>
      </w:pPr>
      <w:r>
        <w:rPr>
          <w:color w:val="000000" w:themeColor="text1"/>
        </w:rPr>
        <w:t>HCP</w:t>
      </w:r>
      <w:r>
        <w:rPr>
          <w:color w:val="000000" w:themeColor="text1"/>
        </w:rPr>
        <w:tab/>
      </w:r>
      <w:r>
        <w:rPr>
          <w:color w:val="000000" w:themeColor="text1"/>
        </w:rPr>
        <w:tab/>
      </w:r>
      <w:r>
        <w:rPr>
          <w:color w:val="000000" w:themeColor="text1"/>
        </w:rPr>
        <w:t>Health Care Professional</w:t>
      </w:r>
    </w:p>
    <w:p w:rsidR="006A42AC" w:rsidP="0063372B" w:rsidRDefault="006A42AC" w14:paraId="24A3F35A" w14:textId="49E31A42">
      <w:pPr>
        <w:rPr>
          <w:color w:val="000000" w:themeColor="text1"/>
        </w:rPr>
      </w:pPr>
      <w:r>
        <w:rPr>
          <w:color w:val="000000" w:themeColor="text1"/>
        </w:rPr>
        <w:t xml:space="preserve">NHS </w:t>
      </w:r>
      <w:r w:rsidR="00BC5D98">
        <w:rPr>
          <w:color w:val="000000" w:themeColor="text1"/>
        </w:rPr>
        <w:tab/>
      </w:r>
      <w:r w:rsidR="00BC5D98">
        <w:rPr>
          <w:color w:val="000000" w:themeColor="text1"/>
        </w:rPr>
        <w:tab/>
      </w:r>
      <w:r>
        <w:rPr>
          <w:color w:val="000000" w:themeColor="text1"/>
        </w:rPr>
        <w:t>National Health Service</w:t>
      </w:r>
    </w:p>
    <w:p w:rsidRPr="006A42AC" w:rsidR="007D1DED" w:rsidP="0063372B" w:rsidRDefault="007D1DED" w14:paraId="6BDD3843" w14:textId="23112BDA">
      <w:pPr>
        <w:rPr>
          <w:color w:val="000000" w:themeColor="text1"/>
        </w:rPr>
      </w:pPr>
      <w:r>
        <w:rPr>
          <w:color w:val="000000" w:themeColor="text1"/>
        </w:rPr>
        <w:t>PICU</w:t>
      </w:r>
      <w:r>
        <w:rPr>
          <w:color w:val="000000" w:themeColor="text1"/>
        </w:rPr>
        <w:tab/>
      </w:r>
      <w:r>
        <w:rPr>
          <w:color w:val="000000" w:themeColor="text1"/>
        </w:rPr>
        <w:tab/>
      </w:r>
      <w:r>
        <w:rPr>
          <w:color w:val="000000" w:themeColor="text1"/>
        </w:rPr>
        <w:t>Paediatric Intensive Care Unit</w:t>
      </w:r>
    </w:p>
    <w:p w:rsidR="0063372B" w:rsidP="0063372B" w:rsidRDefault="0063372B" w14:paraId="55CB77F4" w14:textId="77777777">
      <w:pPr>
        <w:rPr>
          <w:b/>
          <w:bCs/>
          <w:sz w:val="32"/>
          <w:szCs w:val="32"/>
          <w:u w:val="single"/>
        </w:rPr>
      </w:pPr>
    </w:p>
    <w:p w:rsidR="00DD24B2" w:rsidP="002E4BA1" w:rsidRDefault="00DD24B2" w14:paraId="7052EA48" w14:textId="37F2B61B">
      <w:pPr>
        <w:jc w:val="center"/>
        <w:rPr>
          <w:b/>
          <w:bCs/>
          <w:sz w:val="32"/>
          <w:szCs w:val="32"/>
          <w:u w:val="single"/>
        </w:rPr>
      </w:pPr>
    </w:p>
    <w:p w:rsidR="00DD24B2" w:rsidP="002E4BA1" w:rsidRDefault="00DD24B2" w14:paraId="7540FDA7" w14:textId="594FD352">
      <w:pPr>
        <w:jc w:val="center"/>
        <w:rPr>
          <w:b/>
          <w:bCs/>
          <w:sz w:val="32"/>
          <w:szCs w:val="32"/>
          <w:u w:val="single"/>
        </w:rPr>
      </w:pPr>
    </w:p>
    <w:p w:rsidR="00DD24B2" w:rsidP="002E4BA1" w:rsidRDefault="00DD24B2" w14:paraId="666AE11B" w14:textId="2D4AAD5D">
      <w:pPr>
        <w:jc w:val="center"/>
        <w:rPr>
          <w:b/>
          <w:bCs/>
          <w:sz w:val="32"/>
          <w:szCs w:val="32"/>
          <w:u w:val="single"/>
        </w:rPr>
      </w:pPr>
    </w:p>
    <w:p w:rsidR="00DD24B2" w:rsidP="002E4BA1" w:rsidRDefault="00DD24B2" w14:paraId="24E9997C" w14:textId="30B1F593">
      <w:pPr>
        <w:jc w:val="center"/>
        <w:rPr>
          <w:b/>
          <w:bCs/>
          <w:sz w:val="32"/>
          <w:szCs w:val="32"/>
          <w:u w:val="single"/>
        </w:rPr>
      </w:pPr>
    </w:p>
    <w:p w:rsidR="00DD24B2" w:rsidP="002E4BA1" w:rsidRDefault="00DD24B2" w14:paraId="3626E5D7" w14:textId="0D4C2FFE">
      <w:pPr>
        <w:jc w:val="center"/>
        <w:rPr>
          <w:b/>
          <w:bCs/>
          <w:sz w:val="32"/>
          <w:szCs w:val="32"/>
          <w:u w:val="single"/>
        </w:rPr>
      </w:pPr>
    </w:p>
    <w:p w:rsidR="00DD24B2" w:rsidP="002E4BA1" w:rsidRDefault="00DD24B2" w14:paraId="3ED9D04E" w14:textId="4519208B">
      <w:pPr>
        <w:jc w:val="center"/>
        <w:rPr>
          <w:b/>
          <w:bCs/>
          <w:sz w:val="32"/>
          <w:szCs w:val="32"/>
          <w:u w:val="single"/>
        </w:rPr>
      </w:pPr>
    </w:p>
    <w:p w:rsidR="00E6236B" w:rsidP="002E4BA1" w:rsidRDefault="00E6236B" w14:paraId="40A9D064" w14:textId="4DAC5263">
      <w:pPr>
        <w:jc w:val="center"/>
        <w:rPr>
          <w:b/>
          <w:bCs/>
          <w:sz w:val="32"/>
          <w:szCs w:val="32"/>
          <w:u w:val="single"/>
        </w:rPr>
      </w:pPr>
    </w:p>
    <w:p w:rsidR="00E6236B" w:rsidP="002E4BA1" w:rsidRDefault="00E6236B" w14:paraId="66E1736F" w14:textId="77777777">
      <w:pPr>
        <w:jc w:val="center"/>
        <w:rPr>
          <w:b/>
          <w:bCs/>
          <w:sz w:val="32"/>
          <w:szCs w:val="32"/>
          <w:u w:val="single"/>
        </w:rPr>
      </w:pPr>
    </w:p>
    <w:p w:rsidR="0063372B" w:rsidP="002E4BA1" w:rsidRDefault="0063372B" w14:paraId="304A3BC2" w14:textId="77777777">
      <w:pPr>
        <w:jc w:val="center"/>
        <w:rPr>
          <w:b/>
          <w:bCs/>
          <w:sz w:val="32"/>
          <w:szCs w:val="32"/>
          <w:u w:val="single"/>
        </w:rPr>
      </w:pPr>
    </w:p>
    <w:p w:rsidR="002A2345" w:rsidP="002E4BA1" w:rsidRDefault="002A2345" w14:paraId="0D2A1FBD" w14:textId="77777777">
      <w:pPr>
        <w:jc w:val="center"/>
        <w:rPr>
          <w:b/>
          <w:bCs/>
          <w:sz w:val="32"/>
          <w:szCs w:val="32"/>
          <w:u w:val="single"/>
        </w:rPr>
      </w:pPr>
    </w:p>
    <w:p w:rsidR="0063372B" w:rsidP="002E4BA1" w:rsidRDefault="0063372B" w14:paraId="6F7DC0BC" w14:textId="77777777">
      <w:pPr>
        <w:jc w:val="center"/>
        <w:rPr>
          <w:b/>
          <w:bCs/>
          <w:sz w:val="32"/>
          <w:szCs w:val="32"/>
          <w:u w:val="single"/>
        </w:rPr>
      </w:pPr>
    </w:p>
    <w:p w:rsidR="0063372B" w:rsidP="002E4BA1" w:rsidRDefault="0063372B" w14:paraId="31787188" w14:textId="77777777">
      <w:pPr>
        <w:jc w:val="center"/>
        <w:rPr>
          <w:b/>
          <w:bCs/>
          <w:sz w:val="32"/>
          <w:szCs w:val="32"/>
          <w:u w:val="single"/>
        </w:rPr>
      </w:pPr>
    </w:p>
    <w:p w:rsidR="0063372B" w:rsidP="002E4BA1" w:rsidRDefault="0063372B" w14:paraId="739E3073" w14:textId="77777777">
      <w:pPr>
        <w:jc w:val="center"/>
        <w:rPr>
          <w:b/>
          <w:bCs/>
          <w:sz w:val="32"/>
          <w:szCs w:val="32"/>
          <w:u w:val="single"/>
        </w:rPr>
      </w:pPr>
    </w:p>
    <w:p w:rsidR="0063372B" w:rsidP="002E4BA1" w:rsidRDefault="0063372B" w14:paraId="4F7FF15D" w14:textId="77777777">
      <w:pPr>
        <w:jc w:val="center"/>
        <w:rPr>
          <w:b/>
          <w:bCs/>
          <w:sz w:val="32"/>
          <w:szCs w:val="32"/>
          <w:u w:val="single"/>
        </w:rPr>
      </w:pPr>
    </w:p>
    <w:p w:rsidR="0063372B" w:rsidP="002E4BA1" w:rsidRDefault="0063372B" w14:paraId="208F41D6" w14:textId="77777777">
      <w:pPr>
        <w:jc w:val="center"/>
        <w:rPr>
          <w:b/>
          <w:bCs/>
          <w:sz w:val="32"/>
          <w:szCs w:val="32"/>
          <w:u w:val="single"/>
        </w:rPr>
      </w:pPr>
    </w:p>
    <w:p w:rsidR="0063372B" w:rsidP="002E4BA1" w:rsidRDefault="0063372B" w14:paraId="76A29B3F" w14:textId="77777777">
      <w:pPr>
        <w:jc w:val="center"/>
        <w:rPr>
          <w:b/>
          <w:bCs/>
          <w:sz w:val="32"/>
          <w:szCs w:val="32"/>
          <w:u w:val="single"/>
        </w:rPr>
      </w:pPr>
    </w:p>
    <w:p w:rsidR="0063372B" w:rsidP="002E4BA1" w:rsidRDefault="0063372B" w14:paraId="1F03B980" w14:textId="77777777">
      <w:pPr>
        <w:jc w:val="center"/>
        <w:rPr>
          <w:b/>
          <w:bCs/>
          <w:sz w:val="32"/>
          <w:szCs w:val="32"/>
          <w:u w:val="single"/>
        </w:rPr>
      </w:pPr>
    </w:p>
    <w:p w:rsidR="0063372B" w:rsidP="002E4BA1" w:rsidRDefault="0063372B" w14:paraId="53C20E91" w14:textId="77777777">
      <w:pPr>
        <w:jc w:val="center"/>
        <w:rPr>
          <w:b/>
          <w:bCs/>
          <w:sz w:val="32"/>
          <w:szCs w:val="32"/>
          <w:u w:val="single"/>
        </w:rPr>
      </w:pPr>
    </w:p>
    <w:p w:rsidR="0063372B" w:rsidP="002E4BA1" w:rsidRDefault="0063372B" w14:paraId="1307D3DE" w14:textId="77777777">
      <w:pPr>
        <w:jc w:val="center"/>
        <w:rPr>
          <w:b/>
          <w:bCs/>
          <w:sz w:val="32"/>
          <w:szCs w:val="32"/>
          <w:u w:val="single"/>
        </w:rPr>
      </w:pPr>
    </w:p>
    <w:p w:rsidR="0063372B" w:rsidP="002E4BA1" w:rsidRDefault="0063372B" w14:paraId="759F7C57" w14:textId="77777777">
      <w:pPr>
        <w:jc w:val="center"/>
        <w:rPr>
          <w:b/>
          <w:bCs/>
          <w:sz w:val="32"/>
          <w:szCs w:val="32"/>
          <w:u w:val="single"/>
        </w:rPr>
      </w:pPr>
    </w:p>
    <w:p w:rsidR="0063372B" w:rsidP="002E4BA1" w:rsidRDefault="0063372B" w14:paraId="6E736FAB" w14:textId="77777777">
      <w:pPr>
        <w:jc w:val="center"/>
        <w:rPr>
          <w:b/>
          <w:bCs/>
          <w:sz w:val="32"/>
          <w:szCs w:val="32"/>
          <w:u w:val="single"/>
        </w:rPr>
      </w:pPr>
    </w:p>
    <w:p w:rsidR="002A2345" w:rsidP="002E4BA1" w:rsidRDefault="002A2345" w14:paraId="3F17BD00" w14:textId="77777777">
      <w:pPr>
        <w:jc w:val="center"/>
        <w:rPr>
          <w:b/>
          <w:bCs/>
          <w:sz w:val="32"/>
          <w:szCs w:val="32"/>
          <w:u w:val="single"/>
        </w:rPr>
      </w:pPr>
    </w:p>
    <w:p w:rsidR="0063372B" w:rsidP="002E4BA1" w:rsidRDefault="0063372B" w14:paraId="7268EE96" w14:textId="77777777">
      <w:pPr>
        <w:jc w:val="center"/>
        <w:rPr>
          <w:b/>
          <w:bCs/>
          <w:sz w:val="32"/>
          <w:szCs w:val="32"/>
          <w:u w:val="single"/>
        </w:rPr>
      </w:pPr>
    </w:p>
    <w:p w:rsidR="0063372B" w:rsidP="002E4BA1" w:rsidRDefault="0063372B" w14:paraId="17992159" w14:textId="77777777">
      <w:pPr>
        <w:jc w:val="center"/>
        <w:rPr>
          <w:b/>
          <w:bCs/>
          <w:sz w:val="32"/>
          <w:szCs w:val="32"/>
          <w:u w:val="single"/>
        </w:rPr>
      </w:pPr>
    </w:p>
    <w:p w:rsidR="0063372B" w:rsidP="002E4BA1" w:rsidRDefault="0063372B" w14:paraId="0909F146" w14:textId="77777777">
      <w:pPr>
        <w:jc w:val="center"/>
        <w:rPr>
          <w:b/>
          <w:bCs/>
          <w:sz w:val="32"/>
          <w:szCs w:val="32"/>
          <w:u w:val="single"/>
        </w:rPr>
      </w:pPr>
    </w:p>
    <w:p w:rsidR="00FC7A75" w:rsidP="00847B7A" w:rsidRDefault="00FC7A75" w14:paraId="734A2CB7" w14:textId="77777777">
      <w:pPr>
        <w:jc w:val="both"/>
        <w:rPr>
          <w:b/>
          <w:bCs/>
          <w:sz w:val="32"/>
          <w:szCs w:val="32"/>
          <w:u w:val="single"/>
        </w:rPr>
      </w:pPr>
    </w:p>
    <w:p w:rsidR="002C5152" w:rsidP="00847B7A" w:rsidRDefault="005C2671" w14:paraId="28E479CA" w14:textId="08ECD2C0">
      <w:pPr>
        <w:jc w:val="both"/>
        <w:rPr>
          <w:b/>
          <w:bCs/>
          <w:color w:val="002060"/>
          <w:sz w:val="28"/>
          <w:szCs w:val="28"/>
          <w:u w:val="single"/>
        </w:rPr>
      </w:pPr>
      <w:r>
        <w:rPr>
          <w:b/>
          <w:bCs/>
          <w:color w:val="002060"/>
          <w:sz w:val="28"/>
          <w:szCs w:val="28"/>
          <w:u w:val="single"/>
        </w:rPr>
        <w:t xml:space="preserve">Executive </w:t>
      </w:r>
      <w:r w:rsidRPr="00C94CDC" w:rsidR="00847B7A">
        <w:rPr>
          <w:b/>
          <w:bCs/>
          <w:color w:val="002060"/>
          <w:sz w:val="28"/>
          <w:szCs w:val="28"/>
          <w:u w:val="single"/>
        </w:rPr>
        <w:t>Summary</w:t>
      </w:r>
    </w:p>
    <w:p w:rsidRPr="00044933" w:rsidR="002C5152" w:rsidP="00847B7A" w:rsidRDefault="00965A20" w14:paraId="6FD26339" w14:textId="10FC1EAA">
      <w:pPr>
        <w:jc w:val="both"/>
      </w:pPr>
      <w:r>
        <w:t>D</w:t>
      </w:r>
      <w:r w:rsidR="0075214D">
        <w:t>isagreements arising</w:t>
      </w:r>
      <w:r w:rsidR="002328E4">
        <w:t xml:space="preserve"> between families and healthcare professionals in the care of critically ill children can be emotionally, legally and ethically challenging. </w:t>
      </w:r>
      <w:r w:rsidR="008F0F45">
        <w:t xml:space="preserve">They confront us with important questions about </w:t>
      </w:r>
      <w:r w:rsidR="00DF5E21">
        <w:t xml:space="preserve">the </w:t>
      </w:r>
      <w:r w:rsidR="00366C89">
        <w:t>position</w:t>
      </w:r>
      <w:r w:rsidR="00DF5E21">
        <w:t xml:space="preserve"> of parents, </w:t>
      </w:r>
      <w:r w:rsidR="009C54F9">
        <w:t xml:space="preserve">the </w:t>
      </w:r>
      <w:r w:rsidR="00DF5E21">
        <w:t xml:space="preserve">relationship between healthcare professionals and families, </w:t>
      </w:r>
      <w:r w:rsidR="000D41A1">
        <w:t>the weight of religious and moral values</w:t>
      </w:r>
      <w:r w:rsidR="002E3ACD">
        <w:t>,</w:t>
      </w:r>
      <w:r w:rsidR="000D41A1">
        <w:t xml:space="preserve"> and the </w:t>
      </w:r>
      <w:r w:rsidR="002C387D">
        <w:t xml:space="preserve">role of the state in intervening in family life. </w:t>
      </w:r>
      <w:r w:rsidR="002E3ACD">
        <w:t xml:space="preserve">Following on from the </w:t>
      </w:r>
      <w:r w:rsidR="00A27215">
        <w:t>we</w:t>
      </w:r>
      <w:r w:rsidR="00121BB8">
        <w:t>l</w:t>
      </w:r>
      <w:r w:rsidR="00A27215">
        <w:t>l-known</w:t>
      </w:r>
      <w:r w:rsidR="002E3ACD">
        <w:t xml:space="preserve"> cases of </w:t>
      </w:r>
      <w:r w:rsidRPr="090C4359" w:rsidR="002E3ACD">
        <w:rPr>
          <w:i/>
          <w:iCs/>
        </w:rPr>
        <w:t>Charlie Gard</w:t>
      </w:r>
      <w:r w:rsidR="002E3ACD">
        <w:t xml:space="preserve"> and </w:t>
      </w:r>
      <w:r w:rsidRPr="090C4359" w:rsidR="002E3ACD">
        <w:rPr>
          <w:i/>
          <w:iCs/>
        </w:rPr>
        <w:t>Alfie Evans</w:t>
      </w:r>
      <w:r w:rsidR="002E3ACD">
        <w:t xml:space="preserve">, there have been </w:t>
      </w:r>
      <w:r w:rsidR="00A27215">
        <w:t>five subsequent high-profile cases in the last 5 years which have</w:t>
      </w:r>
      <w:r w:rsidR="00E12CE0">
        <w:t xml:space="preserve"> continued to</w:t>
      </w:r>
      <w:r w:rsidR="00A27215">
        <w:t xml:space="preserve"> </w:t>
      </w:r>
      <w:r w:rsidR="00121BB8">
        <w:t>b</w:t>
      </w:r>
      <w:r w:rsidR="00E12CE0">
        <w:t>ring</w:t>
      </w:r>
      <w:r w:rsidR="00121BB8">
        <w:t xml:space="preserve"> these issues to </w:t>
      </w:r>
      <w:r w:rsidR="00973334">
        <w:t>both public and political attention.</w:t>
      </w:r>
    </w:p>
    <w:p w:rsidR="090C4359" w:rsidP="090C4359" w:rsidRDefault="090C4359" w14:paraId="072493B4" w14:textId="10FC1EAA">
      <w:pPr>
        <w:jc w:val="both"/>
      </w:pPr>
    </w:p>
    <w:p w:rsidRPr="00044933" w:rsidR="00C54CF8" w:rsidP="00351F2F" w:rsidRDefault="00F55F59" w14:paraId="14137EAE" w14:textId="0A800340">
      <w:pPr>
        <w:jc w:val="both"/>
      </w:pPr>
      <w:r w:rsidRPr="00044933">
        <w:t xml:space="preserve">As part of a programme of work commissioned by the Department for Health and </w:t>
      </w:r>
      <w:r w:rsidRPr="00044933" w:rsidR="0066531A">
        <w:t xml:space="preserve">Social Care, this </w:t>
      </w:r>
      <w:r w:rsidRPr="00044933" w:rsidR="00E12CE0">
        <w:t xml:space="preserve">thematic </w:t>
      </w:r>
      <w:r w:rsidRPr="00044933" w:rsidR="0066531A">
        <w:t xml:space="preserve">review sought to examine the literature and evidence base </w:t>
      </w:r>
      <w:r w:rsidRPr="00044933" w:rsidR="00DB52F2">
        <w:t>between</w:t>
      </w:r>
      <w:r w:rsidRPr="00044933" w:rsidR="0066531A">
        <w:t xml:space="preserve"> 2017-2023 relating to three questions. First, what are the c</w:t>
      </w:r>
      <w:r w:rsidRPr="00044933" w:rsidR="00DB52F2">
        <w:t>auses of disagreement in the care of critica</w:t>
      </w:r>
      <w:r w:rsidRPr="00044933" w:rsidR="0046514A">
        <w:t>lly</w:t>
      </w:r>
      <w:r w:rsidRPr="00044933" w:rsidR="00DB52F2">
        <w:t>-ill children in England</w:t>
      </w:r>
      <w:r w:rsidRPr="00044933" w:rsidR="00351F2F">
        <w:t xml:space="preserve">? </w:t>
      </w:r>
      <w:r w:rsidRPr="00044933" w:rsidR="00DB52F2">
        <w:t>Second, what are the impacts of these disagreements</w:t>
      </w:r>
      <w:r w:rsidRPr="00044933" w:rsidR="00C54CF8">
        <w:t xml:space="preserve"> on the child, their family, the healthcare professionals, the NHS and wider society</w:t>
      </w:r>
      <w:r w:rsidRPr="00044933" w:rsidR="00351F2F">
        <w:t>? Third, w</w:t>
      </w:r>
      <w:r w:rsidRPr="00044933" w:rsidR="00C54CF8">
        <w:t>hat are the possible mechanisms for avoiding, recognising, managing and resolving disagreement?</w:t>
      </w:r>
    </w:p>
    <w:p w:rsidRPr="00044933" w:rsidR="0046514A" w:rsidP="00351F2F" w:rsidRDefault="0046514A" w14:paraId="1E55FB5A" w14:textId="77777777">
      <w:pPr>
        <w:jc w:val="both"/>
      </w:pPr>
    </w:p>
    <w:p w:rsidRPr="00044933" w:rsidR="0046514A" w:rsidP="00351F2F" w:rsidRDefault="00303A70" w14:paraId="66FDF2DD" w14:textId="4FEF9DB1">
      <w:pPr>
        <w:jc w:val="both"/>
      </w:pPr>
      <w:r w:rsidRPr="00044933">
        <w:t>E</w:t>
      </w:r>
      <w:r w:rsidRPr="00044933" w:rsidR="0046514A">
        <w:t>ight possible causes of disagreement</w:t>
      </w:r>
      <w:r w:rsidRPr="00044933" w:rsidR="009F437E">
        <w:t xml:space="preserve"> are</w:t>
      </w:r>
      <w:r w:rsidRPr="00044933">
        <w:t xml:space="preserve"> identified</w:t>
      </w:r>
      <w:r w:rsidRPr="00044933" w:rsidR="0046514A">
        <w:t>,</w:t>
      </w:r>
      <w:r w:rsidRPr="00044933" w:rsidR="00D83A36">
        <w:t xml:space="preserve"> </w:t>
      </w:r>
      <w:r w:rsidRPr="00044933" w:rsidR="0046514A">
        <w:t>which have been grouped into interna</w:t>
      </w:r>
      <w:r w:rsidRPr="00044933" w:rsidR="008F0F45">
        <w:t>l, relati</w:t>
      </w:r>
      <w:r w:rsidRPr="00044933" w:rsidR="00D510F5">
        <w:t>onal</w:t>
      </w:r>
      <w:r w:rsidRPr="00044933" w:rsidR="008F0F45">
        <w:t xml:space="preserve"> and external causes. </w:t>
      </w:r>
      <w:r w:rsidRPr="00044933" w:rsidR="00465B44">
        <w:t xml:space="preserve">Internal causes such as </w:t>
      </w:r>
      <w:r w:rsidRPr="00044933" w:rsidR="000646A9">
        <w:t xml:space="preserve">psychological responses, </w:t>
      </w:r>
      <w:r w:rsidRPr="00044933" w:rsidR="00D86960">
        <w:t>differences relating to religi</w:t>
      </w:r>
      <w:r w:rsidRPr="00044933" w:rsidR="00A24D83">
        <w:t>o</w:t>
      </w:r>
      <w:r w:rsidRPr="00044933" w:rsidR="00D86960">
        <w:t>us beliefs and moral values</w:t>
      </w:r>
      <w:r w:rsidRPr="00044933" w:rsidR="00A96D50">
        <w:t>,</w:t>
      </w:r>
      <w:r w:rsidRPr="00044933" w:rsidR="00D86960">
        <w:t xml:space="preserve"> and </w:t>
      </w:r>
      <w:r w:rsidRPr="00044933" w:rsidR="000F731F">
        <w:t xml:space="preserve">expectations of medical science and </w:t>
      </w:r>
      <w:r w:rsidRPr="00044933" w:rsidR="005B3088">
        <w:t xml:space="preserve">the </w:t>
      </w:r>
      <w:r w:rsidRPr="00044933" w:rsidR="000F731F">
        <w:t xml:space="preserve">“good parent” </w:t>
      </w:r>
      <w:r w:rsidRPr="00044933" w:rsidR="00991B54">
        <w:t xml:space="preserve">are </w:t>
      </w:r>
      <w:r w:rsidRPr="00044933" w:rsidR="00102500">
        <w:t xml:space="preserve">often manifested </w:t>
      </w:r>
      <w:r w:rsidRPr="00044933" w:rsidR="00991B54">
        <w:t>initially.</w:t>
      </w:r>
      <w:r w:rsidRPr="00044933" w:rsidR="00102500">
        <w:t xml:space="preserve"> These internal views can </w:t>
      </w:r>
      <w:r w:rsidRPr="00044933" w:rsidR="00E14F13">
        <w:t>affect</w:t>
      </w:r>
      <w:r w:rsidRPr="00044933" w:rsidR="00102500">
        <w:t xml:space="preserve"> the relational interactions between </w:t>
      </w:r>
      <w:r w:rsidRPr="00044933" w:rsidR="001F227E">
        <w:t>healthcare professionals and families both in terms of communication</w:t>
      </w:r>
      <w:r w:rsidRPr="00044933" w:rsidR="00991B54">
        <w:t>,</w:t>
      </w:r>
      <w:r w:rsidRPr="00044933" w:rsidR="001F227E">
        <w:t xml:space="preserve"> and behaviours. </w:t>
      </w:r>
      <w:r w:rsidRPr="00044933" w:rsidR="00A24D83">
        <w:t xml:space="preserve">Breakdown of </w:t>
      </w:r>
      <w:r w:rsidRPr="00044933" w:rsidR="00C6246A">
        <w:t xml:space="preserve">relational </w:t>
      </w:r>
      <w:r w:rsidRPr="00044933" w:rsidR="00991B54">
        <w:t>trust</w:t>
      </w:r>
      <w:r w:rsidRPr="00044933" w:rsidR="00A24D83">
        <w:t xml:space="preserve"> may then lead to external causes</w:t>
      </w:r>
      <w:r w:rsidRPr="00044933" w:rsidR="003B6BB4">
        <w:t>, such as</w:t>
      </w:r>
      <w:r w:rsidRPr="00044933" w:rsidR="00CF7DE4">
        <w:t xml:space="preserve"> families turning to the</w:t>
      </w:r>
      <w:r w:rsidRPr="00044933" w:rsidR="00F21698">
        <w:t xml:space="preserve"> internet and social media </w:t>
      </w:r>
      <w:r w:rsidRPr="00044933" w:rsidR="00290F01">
        <w:t>or</w:t>
      </w:r>
      <w:r w:rsidRPr="00044933" w:rsidR="00CF7DE4">
        <w:t xml:space="preserve"> the </w:t>
      </w:r>
      <w:r w:rsidRPr="00044933" w:rsidR="003F1886">
        <w:t xml:space="preserve">involvement of </w:t>
      </w:r>
      <w:r w:rsidRPr="00044933" w:rsidR="00F0355F">
        <w:t>t</w:t>
      </w:r>
      <w:r w:rsidRPr="00044933" w:rsidR="003F1886">
        <w:t>hird-party organisations</w:t>
      </w:r>
      <w:r w:rsidRPr="00044933" w:rsidR="00CF7DE4">
        <w:t>. Finally,</w:t>
      </w:r>
      <w:r w:rsidRPr="00044933" w:rsidR="00290F01">
        <w:t xml:space="preserve"> the growing recognition by families of</w:t>
      </w:r>
      <w:r w:rsidRPr="00044933" w:rsidR="00EB252E">
        <w:t xml:space="preserve"> the possibility of innovative treatments </w:t>
      </w:r>
      <w:r w:rsidRPr="00044933" w:rsidR="00290F01">
        <w:t xml:space="preserve">or </w:t>
      </w:r>
      <w:r w:rsidRPr="00044933" w:rsidR="00EB252E">
        <w:t>care abroad can add to conflict.</w:t>
      </w:r>
    </w:p>
    <w:p w:rsidRPr="00044933" w:rsidR="00CE37AA" w:rsidP="00847B7A" w:rsidRDefault="00CE37AA" w14:paraId="21C5524E" w14:textId="77777777">
      <w:pPr>
        <w:jc w:val="both"/>
      </w:pPr>
    </w:p>
    <w:p w:rsidRPr="00044933" w:rsidR="00166700" w:rsidP="00847B7A" w:rsidRDefault="004B6E02" w14:paraId="26311B3B" w14:textId="5758F904">
      <w:pPr>
        <w:jc w:val="both"/>
      </w:pPr>
      <w:r w:rsidRPr="00044933">
        <w:t xml:space="preserve">A </w:t>
      </w:r>
      <w:r w:rsidRPr="00044933" w:rsidR="003A6DCA">
        <w:t>number of studies</w:t>
      </w:r>
      <w:r w:rsidRPr="00044933" w:rsidR="0004602F">
        <w:t xml:space="preserve"> detailing</w:t>
      </w:r>
      <w:r w:rsidRPr="00044933">
        <w:t xml:space="preserve"> the impact of disagreement on healthcare professionals</w:t>
      </w:r>
      <w:r w:rsidRPr="00044933" w:rsidR="00F50910">
        <w:t xml:space="preserve"> point to</w:t>
      </w:r>
      <w:r w:rsidRPr="00044933" w:rsidR="0004602F">
        <w:t xml:space="preserve"> </w:t>
      </w:r>
      <w:r w:rsidRPr="00044933" w:rsidR="008E0A19">
        <w:t>moral distress,</w:t>
      </w:r>
      <w:r w:rsidRPr="00044933" w:rsidR="00ED0A37">
        <w:t xml:space="preserve"> compassion fatigue,</w:t>
      </w:r>
      <w:r w:rsidRPr="00044933" w:rsidR="008E0A19">
        <w:t xml:space="preserve"> staff burnout and </w:t>
      </w:r>
      <w:r w:rsidRPr="00044933" w:rsidR="0007425F">
        <w:t>fears for career prospect</w:t>
      </w:r>
      <w:r w:rsidRPr="00044933" w:rsidR="0004602F">
        <w:t>s.</w:t>
      </w:r>
      <w:r w:rsidRPr="00044933" w:rsidR="00C92D21">
        <w:t xml:space="preserve"> Yet, there</w:t>
      </w:r>
      <w:r w:rsidRPr="00044933" w:rsidR="00B2675A">
        <w:t xml:space="preserve"> is a</w:t>
      </w:r>
      <w:r w:rsidRPr="00044933" w:rsidR="002E21FD">
        <w:t xml:space="preserve"> </w:t>
      </w:r>
      <w:r w:rsidRPr="00044933" w:rsidR="0007425F">
        <w:t>significant</w:t>
      </w:r>
      <w:r w:rsidRPr="00044933" w:rsidR="0004602F">
        <w:t xml:space="preserve"> evidential</w:t>
      </w:r>
      <w:r w:rsidRPr="00044933" w:rsidR="0007425F">
        <w:t xml:space="preserve"> gap in the literature</w:t>
      </w:r>
      <w:r w:rsidRPr="00044933" w:rsidR="00BA120C">
        <w:t xml:space="preserve"> </w:t>
      </w:r>
      <w:r w:rsidRPr="00044933" w:rsidR="0007425F">
        <w:t>relating to the impact on the child</w:t>
      </w:r>
      <w:r w:rsidRPr="00044933" w:rsidR="00D83A36">
        <w:t>,</w:t>
      </w:r>
      <w:r w:rsidRPr="00044933" w:rsidR="007700DD">
        <w:t xml:space="preserve"> </w:t>
      </w:r>
      <w:r w:rsidRPr="00044933" w:rsidR="0004602F">
        <w:t xml:space="preserve">leaving merely </w:t>
      </w:r>
      <w:r w:rsidRPr="00044933" w:rsidR="00FC727E">
        <w:t>assumption</w:t>
      </w:r>
      <w:r w:rsidRPr="00044933" w:rsidR="0004602F">
        <w:t>s</w:t>
      </w:r>
      <w:r w:rsidRPr="00044933" w:rsidR="00FC727E">
        <w:t xml:space="preserve"> </w:t>
      </w:r>
      <w:r w:rsidRPr="00044933" w:rsidR="0004602F">
        <w:t xml:space="preserve">that </w:t>
      </w:r>
      <w:r w:rsidRPr="00044933" w:rsidR="00FC727E">
        <w:t>disagreement and court proce</w:t>
      </w:r>
      <w:r w:rsidRPr="00044933" w:rsidR="00D10546">
        <w:t>edings</w:t>
      </w:r>
      <w:r w:rsidRPr="00044933" w:rsidR="00FC727E">
        <w:t xml:space="preserve"> are detrimental to the child.</w:t>
      </w:r>
      <w:r w:rsidRPr="00044933" w:rsidR="00155B62">
        <w:t xml:space="preserve"> </w:t>
      </w:r>
      <w:r w:rsidRPr="00044933" w:rsidR="00CE70F5">
        <w:t>For</w:t>
      </w:r>
      <w:r w:rsidRPr="00044933" w:rsidR="006660B2">
        <w:t xml:space="preserve"> families</w:t>
      </w:r>
      <w:r w:rsidRPr="00044933" w:rsidR="00CE70F5">
        <w:t>, the literature</w:t>
      </w:r>
      <w:r w:rsidRPr="00044933" w:rsidR="006660B2">
        <w:t xml:space="preserve"> paints a more nuanced picture</w:t>
      </w:r>
      <w:r w:rsidRPr="00044933" w:rsidR="00F0422B">
        <w:t>, with accounts of</w:t>
      </w:r>
      <w:r w:rsidRPr="00044933" w:rsidR="00620B89">
        <w:t xml:space="preserve"> psychological</w:t>
      </w:r>
      <w:r w:rsidRPr="00044933" w:rsidR="00D03B09">
        <w:t xml:space="preserve"> </w:t>
      </w:r>
      <w:r w:rsidRPr="00044933" w:rsidR="00F0422B">
        <w:t>trauma</w:t>
      </w:r>
      <w:r w:rsidRPr="00044933" w:rsidR="00EC4F1D">
        <w:t>,</w:t>
      </w:r>
      <w:r w:rsidRPr="00044933" w:rsidR="00F0422B">
        <w:t xml:space="preserve"> </w:t>
      </w:r>
      <w:r w:rsidRPr="00044933" w:rsidR="00620B89">
        <w:t>moral</w:t>
      </w:r>
      <w:r w:rsidRPr="00044933" w:rsidR="00F0422B">
        <w:t xml:space="preserve"> distress</w:t>
      </w:r>
      <w:r w:rsidRPr="00044933" w:rsidR="00EC4F1D">
        <w:t xml:space="preserve"> and </w:t>
      </w:r>
      <w:r w:rsidRPr="00044933" w:rsidR="00C85115">
        <w:t>relationship deterioration</w:t>
      </w:r>
      <w:r w:rsidRPr="00044933" w:rsidR="00F0422B">
        <w:t xml:space="preserve"> </w:t>
      </w:r>
      <w:r w:rsidRPr="00044933" w:rsidR="008C3433">
        <w:t xml:space="preserve">arising </w:t>
      </w:r>
      <w:r w:rsidRPr="00044933" w:rsidR="00F0422B">
        <w:t>from</w:t>
      </w:r>
      <w:r w:rsidRPr="00044933" w:rsidR="008C3433">
        <w:t xml:space="preserve"> experiences both within the hospital and the courtroom</w:t>
      </w:r>
      <w:r w:rsidRPr="00044933" w:rsidR="00064EF1">
        <w:t>.</w:t>
      </w:r>
      <w:r w:rsidRPr="00044933" w:rsidR="006D312A">
        <w:t xml:space="preserve"> </w:t>
      </w:r>
      <w:r w:rsidRPr="00044933" w:rsidR="00762723">
        <w:t>Yet, for some parents the opportunity to have their voice heard and views examined by the courts is highly valued.</w:t>
      </w:r>
      <w:r w:rsidRPr="00044933" w:rsidR="00C85115">
        <w:t xml:space="preserve"> </w:t>
      </w:r>
      <w:r w:rsidRPr="00044933" w:rsidR="00D93F9C">
        <w:t xml:space="preserve">Identified impacts on </w:t>
      </w:r>
      <w:r w:rsidRPr="00044933" w:rsidR="00C85115">
        <w:t xml:space="preserve">the NHS and wider society </w:t>
      </w:r>
      <w:r w:rsidRPr="00044933" w:rsidR="00D93F9C">
        <w:t xml:space="preserve">include </w:t>
      </w:r>
      <w:r w:rsidRPr="00044933" w:rsidR="00C85115">
        <w:t>policy</w:t>
      </w:r>
      <w:r w:rsidRPr="00044933" w:rsidR="0028190B">
        <w:t xml:space="preserve"> changes and </w:t>
      </w:r>
      <w:r w:rsidRPr="00044933" w:rsidR="00C85115">
        <w:t>defensive practice</w:t>
      </w:r>
      <w:r w:rsidRPr="00044933" w:rsidR="0028190B">
        <w:t>s</w:t>
      </w:r>
      <w:r w:rsidRPr="00044933" w:rsidR="00C85115">
        <w:t>, financial and staffing implications, reputational damage, and an increasing climate of public critical opinion</w:t>
      </w:r>
      <w:r w:rsidRPr="00044933" w:rsidR="0028190B">
        <w:t>.</w:t>
      </w:r>
    </w:p>
    <w:p w:rsidRPr="00044933" w:rsidR="00166700" w:rsidP="00847B7A" w:rsidRDefault="00166700" w14:paraId="0B55F34F" w14:textId="77777777">
      <w:pPr>
        <w:jc w:val="both"/>
      </w:pPr>
    </w:p>
    <w:p w:rsidR="00272B30" w:rsidP="00B70C41" w:rsidRDefault="009938B7" w14:paraId="46E756BB" w14:textId="06DF7F28">
      <w:pPr>
        <w:jc w:val="both"/>
      </w:pPr>
      <w:r w:rsidRPr="00044933">
        <w:t xml:space="preserve">Appropriate mechanisms for resolving disagreement can be </w:t>
      </w:r>
      <w:r w:rsidRPr="00044933" w:rsidR="00253682">
        <w:t>matched with the severity of the dispute</w:t>
      </w:r>
      <w:r w:rsidRPr="00044933" w:rsidR="00B21400">
        <w:t>. Internal approaches are suitable for mild conflicts, with the literature outlining the merits of sensitive, well-timed communication and shared decision-making, situated within Conflict Management Frameworks including elements such as structured communication tools, managerial processes and psychologist involvement. Escalation to moderate disagreement may call for third-party intervention, but doubts are expressed in the literature of the effectiveness of the common approach of seeking expert second opinion. The use of Clinical Ethics Committees is seen as more promising in bringing parties together, with even the potential for determinative decision-making, but a major re-orientation of its role and remit would be required. Mediation has received sustained attention, with suggestions that its early use can be effective, although success may be limited where disagreements turn on religious beliefs or moral values. The strength of its voluntary nature is stressed, urging the avoidance of mandated participation. Legal resolution is generally needed in severe dispute and changes to the legal threshold for intervention from best interests to significant harm has received substantial attention, with strongly made arguments on both sides, but no clear consensus</w:t>
      </w:r>
      <w:r w:rsidRPr="00044933" w:rsidR="009E7E1A">
        <w:t>.</w:t>
      </w:r>
      <w:r w:rsidRPr="00044933" w:rsidR="00B21400">
        <w:t xml:space="preserve"> Changes to the best interests test have also been advocated, along with alternative tests, and court structures. Whilst there is recognition of the problematic aspects of court proceedings, the value of a transparent and robust legal process is also recognised.</w:t>
      </w:r>
    </w:p>
    <w:p w:rsidRPr="00044933" w:rsidR="002A2345" w:rsidP="00B70C41" w:rsidRDefault="002A2345" w14:paraId="19AEB7A2" w14:textId="77777777">
      <w:pPr>
        <w:jc w:val="both"/>
      </w:pPr>
    </w:p>
    <w:p w:rsidRPr="00B70C41" w:rsidR="00847B7A" w:rsidP="090C4359" w:rsidRDefault="00E6236B" w14:paraId="511EBB32" w14:textId="446B3488">
      <w:pPr>
        <w:pStyle w:val="ListParagraph"/>
        <w:numPr>
          <w:ilvl w:val="0"/>
          <w:numId w:val="1"/>
        </w:numPr>
        <w:jc w:val="both"/>
        <w:rPr>
          <w:b/>
          <w:bCs/>
          <w:color w:val="002060"/>
          <w:sz w:val="28"/>
          <w:szCs w:val="28"/>
          <w:u w:val="single"/>
        </w:rPr>
      </w:pPr>
      <w:r w:rsidRPr="090C4359">
        <w:rPr>
          <w:b/>
          <w:bCs/>
          <w:color w:val="002060"/>
          <w:sz w:val="28"/>
          <w:szCs w:val="28"/>
          <w:u w:val="single"/>
        </w:rPr>
        <w:t>Introduction – Background and Context</w:t>
      </w:r>
    </w:p>
    <w:p w:rsidRPr="00CE2187" w:rsidR="003A1D75" w:rsidP="00C94CDC" w:rsidRDefault="00796DE9" w14:paraId="45BB14CB" w14:textId="248A7FE8">
      <w:pPr>
        <w:pStyle w:val="ListParagraph"/>
        <w:numPr>
          <w:ilvl w:val="0"/>
          <w:numId w:val="2"/>
        </w:numPr>
        <w:jc w:val="both"/>
      </w:pPr>
      <w:r w:rsidRPr="00CE2187">
        <w:t>D</w:t>
      </w:r>
      <w:r w:rsidRPr="00CE2187" w:rsidR="00724006">
        <w:t>ecision-making about the</w:t>
      </w:r>
      <w:r w:rsidRPr="00CE2187" w:rsidR="00252EC8">
        <w:t xml:space="preserve"> care</w:t>
      </w:r>
      <w:r w:rsidRPr="00CE2187">
        <w:t xml:space="preserve"> </w:t>
      </w:r>
      <w:r w:rsidRPr="00CE2187" w:rsidR="00252EC8">
        <w:t>of critically</w:t>
      </w:r>
      <w:r w:rsidRPr="00CE2187" w:rsidR="007C678B">
        <w:t xml:space="preserve"> </w:t>
      </w:r>
      <w:r w:rsidRPr="00CE2187" w:rsidR="00252EC8">
        <w:t>ill children</w:t>
      </w:r>
      <w:r w:rsidRPr="00CE2187" w:rsidR="00CA65C9">
        <w:t xml:space="preserve">, </w:t>
      </w:r>
      <w:r w:rsidRPr="00CE2187" w:rsidR="00724006">
        <w:t xml:space="preserve">and the </w:t>
      </w:r>
      <w:r w:rsidRPr="00641B66" w:rsidR="00724006">
        <w:t>disagreement</w:t>
      </w:r>
      <w:r w:rsidRPr="00641B66" w:rsidR="005B6E72">
        <w:rPr>
          <w:rStyle w:val="FootnoteReference"/>
        </w:rPr>
        <w:footnoteReference w:id="2"/>
      </w:r>
      <w:r w:rsidRPr="00641B66" w:rsidR="00724006">
        <w:t xml:space="preserve"> that </w:t>
      </w:r>
      <w:r w:rsidRPr="00641B66" w:rsidR="003F43F1">
        <w:t>sometimes arise</w:t>
      </w:r>
      <w:r w:rsidRPr="00641B66" w:rsidR="006A299D">
        <w:t>s</w:t>
      </w:r>
      <w:r w:rsidRPr="0061617A" w:rsidR="001F63FF">
        <w:rPr>
          <w:color w:val="FF0000"/>
        </w:rPr>
        <w:t xml:space="preserve"> </w:t>
      </w:r>
      <w:r w:rsidRPr="00CE2187" w:rsidR="00CA65C9">
        <w:t xml:space="preserve">between parents and healthcare professionals, </w:t>
      </w:r>
      <w:r w:rsidRPr="00CE2187" w:rsidR="00E01DEA">
        <w:t xml:space="preserve">presents </w:t>
      </w:r>
      <w:r w:rsidRPr="00CE2187" w:rsidR="00CA65C9">
        <w:t xml:space="preserve">one of the </w:t>
      </w:r>
      <w:r w:rsidRPr="00CE2187" w:rsidR="007B087B">
        <w:t>most</w:t>
      </w:r>
      <w:r w:rsidRPr="00CE2187" w:rsidR="00914668">
        <w:t xml:space="preserve"> challenging and sensitive areas of healthcare law, policy and practice. </w:t>
      </w:r>
      <w:r w:rsidRPr="00CE2187" w:rsidR="00B63E3C">
        <w:t xml:space="preserve">Important questions are evoked about </w:t>
      </w:r>
      <w:r w:rsidRPr="00CE2187" w:rsidR="00E31831">
        <w:t>roles and responsibilities</w:t>
      </w:r>
      <w:r w:rsidRPr="00CE2187" w:rsidR="00F553C6">
        <w:t xml:space="preserve">; </w:t>
      </w:r>
      <w:r w:rsidRPr="00CE2187" w:rsidR="00586001">
        <w:t>of what i</w:t>
      </w:r>
      <w:r w:rsidRPr="00CE2187" w:rsidR="00A13E4A">
        <w:t>t</w:t>
      </w:r>
      <w:r w:rsidRPr="00CE2187" w:rsidR="00586001">
        <w:t xml:space="preserve"> i</w:t>
      </w:r>
      <w:r w:rsidRPr="00CE2187" w:rsidR="00A13E4A">
        <w:t xml:space="preserve">s </w:t>
      </w:r>
      <w:r w:rsidRPr="00CE2187" w:rsidR="00586001">
        <w:t>to be a “good parent” when faced with a critically ill child</w:t>
      </w:r>
      <w:r w:rsidRPr="00CE2187" w:rsidR="00AF46A3">
        <w:t xml:space="preserve">, </w:t>
      </w:r>
      <w:r w:rsidRPr="00CE2187" w:rsidR="00586001">
        <w:t>how</w:t>
      </w:r>
      <w:r w:rsidRPr="00CE2187" w:rsidR="00C2089B">
        <w:t xml:space="preserve"> professionals should best exercise their duties</w:t>
      </w:r>
      <w:r w:rsidRPr="00CE2187" w:rsidR="00A7534F">
        <w:t>,</w:t>
      </w:r>
      <w:r w:rsidRPr="00CE2187" w:rsidR="008525FC">
        <w:t xml:space="preserve"> and who </w:t>
      </w:r>
      <w:r w:rsidRPr="00CE2187" w:rsidR="00BB3D44">
        <w:t>should be tasked with making decisions about care and treatment.</w:t>
      </w:r>
      <w:r w:rsidRPr="00CE2187" w:rsidR="00252EC8">
        <w:t xml:space="preserve"> </w:t>
      </w:r>
      <w:r w:rsidRPr="00CE2187" w:rsidR="00196035">
        <w:t xml:space="preserve">Often </w:t>
      </w:r>
      <w:r w:rsidRPr="00CE2187" w:rsidR="00F149ED">
        <w:t>assessments</w:t>
      </w:r>
      <w:r w:rsidRPr="00CE2187" w:rsidR="00196035">
        <w:t xml:space="preserve"> </w:t>
      </w:r>
      <w:r w:rsidRPr="00CE2187" w:rsidR="009E3550">
        <w:t xml:space="preserve">are </w:t>
      </w:r>
      <w:r w:rsidRPr="00CE2187" w:rsidR="002A7285">
        <w:t>made about the</w:t>
      </w:r>
      <w:r w:rsidRPr="00CE2187" w:rsidR="00F149ED">
        <w:t xml:space="preserve"> weight and importance of </w:t>
      </w:r>
      <w:r w:rsidRPr="00CE2187" w:rsidR="007A5CF4">
        <w:t>fundamental elements of human identity</w:t>
      </w:r>
      <w:r w:rsidRPr="00CE2187" w:rsidR="00240634">
        <w:t xml:space="preserve"> and flourishing</w:t>
      </w:r>
      <w:r w:rsidRPr="00CE2187" w:rsidR="007A5CF4">
        <w:t xml:space="preserve"> – what is a good life (and a good death)</w:t>
      </w:r>
      <w:r w:rsidRPr="00CE2187" w:rsidR="00731CB1">
        <w:t>;</w:t>
      </w:r>
      <w:r w:rsidRPr="00CE2187" w:rsidR="007A5CF4">
        <w:t xml:space="preserve"> the importan</w:t>
      </w:r>
      <w:r w:rsidRPr="00CE2187" w:rsidR="00BD51B2">
        <w:t>ce</w:t>
      </w:r>
      <w:r w:rsidRPr="00CE2187" w:rsidR="007A5CF4">
        <w:t xml:space="preserve"> of religion</w:t>
      </w:r>
      <w:r w:rsidRPr="00CE2187" w:rsidR="00BD51B2">
        <w:t>, belief and values</w:t>
      </w:r>
      <w:r w:rsidRPr="00CE2187" w:rsidR="007D2DAF">
        <w:t xml:space="preserve"> in healthcare decision-making</w:t>
      </w:r>
      <w:r w:rsidRPr="00CE2187" w:rsidR="00731CB1">
        <w:t>;</w:t>
      </w:r>
      <w:r w:rsidRPr="00CE2187" w:rsidR="00BD51B2">
        <w:t xml:space="preserve"> the </w:t>
      </w:r>
      <w:r w:rsidRPr="00CE2187" w:rsidR="00AC32FF">
        <w:t xml:space="preserve">merit of </w:t>
      </w:r>
      <w:r w:rsidRPr="00CE2187" w:rsidR="00BD51B2">
        <w:t>relational connections between children</w:t>
      </w:r>
      <w:r w:rsidRPr="00CE2187" w:rsidR="00F55693">
        <w:t xml:space="preserve">, </w:t>
      </w:r>
      <w:r w:rsidRPr="00CE2187" w:rsidR="00BD51B2">
        <w:t>families</w:t>
      </w:r>
      <w:r w:rsidRPr="00CE2187" w:rsidR="00F55693">
        <w:t xml:space="preserve"> and those that care</w:t>
      </w:r>
      <w:r w:rsidRPr="00CE2187" w:rsidR="00253372">
        <w:t xml:space="preserve"> for them</w:t>
      </w:r>
      <w:r w:rsidRPr="00CE2187" w:rsidR="00731CB1">
        <w:t>;</w:t>
      </w:r>
      <w:r w:rsidRPr="00CE2187" w:rsidR="009C49FF">
        <w:t xml:space="preserve"> </w:t>
      </w:r>
      <w:r w:rsidRPr="00CE2187" w:rsidR="008513E7">
        <w:t>the importance of the liberal standard in relation to family l</w:t>
      </w:r>
      <w:r w:rsidRPr="00CE2187" w:rsidR="004504C5">
        <w:t>ife</w:t>
      </w:r>
      <w:r w:rsidRPr="00CE2187" w:rsidR="00F55693">
        <w:t xml:space="preserve"> and l</w:t>
      </w:r>
      <w:r w:rsidRPr="00CE2187" w:rsidR="004504C5">
        <w:t>aw;</w:t>
      </w:r>
      <w:r w:rsidRPr="00CE2187" w:rsidR="00AB222C">
        <w:rPr>
          <w:rStyle w:val="FootnoteReference"/>
        </w:rPr>
        <w:footnoteReference w:id="3"/>
      </w:r>
      <w:r w:rsidRPr="00CE2187" w:rsidR="008513E7">
        <w:t xml:space="preserve"> and how and when as a s</w:t>
      </w:r>
      <w:r w:rsidRPr="00CE2187" w:rsidR="00F55693">
        <w:t>ociety we believe that the State should intervene.</w:t>
      </w:r>
      <w:r w:rsidRPr="00CE2187" w:rsidR="00DF0146">
        <w:rPr>
          <w:rStyle w:val="FootnoteReference"/>
        </w:rPr>
        <w:footnoteReference w:id="4"/>
      </w:r>
      <w:r w:rsidRPr="00CE2187" w:rsidR="00F55693">
        <w:t xml:space="preserve"> </w:t>
      </w:r>
    </w:p>
    <w:p w:rsidRPr="00CE2187" w:rsidR="003A1D75" w:rsidP="003A1D75" w:rsidRDefault="003A1D75" w14:paraId="47994B5D" w14:textId="77777777">
      <w:pPr>
        <w:pStyle w:val="ListParagraph"/>
        <w:jc w:val="both"/>
      </w:pPr>
    </w:p>
    <w:p w:rsidRPr="00CE2187" w:rsidR="005B6E72" w:rsidP="003A1D75" w:rsidRDefault="003A1D75" w14:paraId="69FA50AD" w14:textId="2EC91D06">
      <w:pPr>
        <w:pStyle w:val="ListParagraph"/>
        <w:numPr>
          <w:ilvl w:val="0"/>
          <w:numId w:val="2"/>
        </w:numPr>
        <w:jc w:val="both"/>
      </w:pPr>
      <w:r w:rsidRPr="00641B66">
        <w:t xml:space="preserve">The legal position in </w:t>
      </w:r>
      <w:r w:rsidRPr="00641B66" w:rsidR="004B09D9">
        <w:t>England</w:t>
      </w:r>
      <w:r w:rsidRPr="00641B66" w:rsidR="004F2F92">
        <w:t xml:space="preserve"> (which is the</w:t>
      </w:r>
      <w:r w:rsidRPr="00641B66" w:rsidR="00FB6DA4">
        <w:t xml:space="preserve"> geographical</w:t>
      </w:r>
      <w:r w:rsidRPr="00641B66" w:rsidR="004F2F92">
        <w:t xml:space="preserve"> focus of this review)</w:t>
      </w:r>
      <w:r w:rsidRPr="00641B66" w:rsidR="004B09D9">
        <w:t xml:space="preserve"> is that</w:t>
      </w:r>
      <w:r w:rsidRPr="00641B66" w:rsidR="00250F8C">
        <w:t xml:space="preserve"> parents,</w:t>
      </w:r>
      <w:r w:rsidRPr="00641B66" w:rsidR="004D1C16">
        <w:t xml:space="preserve"> as an aspect of their parental responsibility</w:t>
      </w:r>
      <w:r w:rsidRPr="00CE2187" w:rsidR="004D1C16">
        <w:t>,</w:t>
      </w:r>
      <w:r w:rsidRPr="00CE2187" w:rsidR="004D1C16">
        <w:rPr>
          <w:rStyle w:val="FootnoteReference"/>
        </w:rPr>
        <w:footnoteReference w:id="5"/>
      </w:r>
      <w:r w:rsidRPr="00CE2187" w:rsidR="004B09D9">
        <w:t xml:space="preserve"> are tasked</w:t>
      </w:r>
      <w:r w:rsidRPr="00CE2187" w:rsidR="004D1C16">
        <w:t xml:space="preserve"> </w:t>
      </w:r>
      <w:r w:rsidRPr="00CE2187" w:rsidR="00180BD5">
        <w:t xml:space="preserve">with making decisions for their </w:t>
      </w:r>
      <w:r w:rsidRPr="00CE2187" w:rsidR="00D07E6D">
        <w:t xml:space="preserve">minor </w:t>
      </w:r>
      <w:r w:rsidRPr="00CE2187" w:rsidR="00180BD5">
        <w:t>children who lack the c</w:t>
      </w:r>
      <w:r w:rsidRPr="00CE2187" w:rsidR="002430DC">
        <w:t>ompet</w:t>
      </w:r>
      <w:r w:rsidRPr="00CE2187" w:rsidR="00F92299">
        <w:t>e</w:t>
      </w:r>
      <w:r w:rsidRPr="00CE2187" w:rsidR="002430DC">
        <w:t>nce</w:t>
      </w:r>
      <w:r w:rsidRPr="00CE2187" w:rsidR="00180BD5">
        <w:t xml:space="preserve"> to make </w:t>
      </w:r>
      <w:r w:rsidRPr="00CE2187" w:rsidR="008F6749">
        <w:t>such decisions for themselves.</w:t>
      </w:r>
      <w:r w:rsidRPr="00CE2187" w:rsidR="00DB7110">
        <w:rPr>
          <w:rStyle w:val="FootnoteReference"/>
        </w:rPr>
        <w:footnoteReference w:id="6"/>
      </w:r>
      <w:r w:rsidRPr="00CE2187" w:rsidR="008F6749">
        <w:t xml:space="preserve"> </w:t>
      </w:r>
      <w:r w:rsidRPr="00CE2187" w:rsidR="00BD03C2">
        <w:t>The liberal philosophical position to family life</w:t>
      </w:r>
      <w:r w:rsidRPr="00CE2187" w:rsidR="00F14E24">
        <w:t xml:space="preserve"> </w:t>
      </w:r>
      <w:r w:rsidRPr="00CE2187" w:rsidR="00BD03C2">
        <w:t>adopted in the U</w:t>
      </w:r>
      <w:r w:rsidRPr="00CE2187" w:rsidR="00B0569C">
        <w:t>K</w:t>
      </w:r>
      <w:r w:rsidRPr="00CE2187" w:rsidR="00BD03C2">
        <w:t xml:space="preserve">, along with </w:t>
      </w:r>
      <w:r w:rsidRPr="00CE2187" w:rsidR="00DB3B19">
        <w:t>European Convention r</w:t>
      </w:r>
      <w:r w:rsidRPr="00CE2187" w:rsidR="0052433D">
        <w:t>igh</w:t>
      </w:r>
      <w:r w:rsidRPr="00CE2187" w:rsidR="00B0569C">
        <w:t>ts</w:t>
      </w:r>
      <w:r w:rsidRPr="00CE2187" w:rsidR="0052433D">
        <w:t xml:space="preserve"> to </w:t>
      </w:r>
      <w:r w:rsidRPr="00CE2187" w:rsidR="0064109C">
        <w:t>p</w:t>
      </w:r>
      <w:r w:rsidRPr="00CE2187" w:rsidR="0052433D">
        <w:t xml:space="preserve">rivate and </w:t>
      </w:r>
      <w:r w:rsidRPr="00CE2187" w:rsidR="0064109C">
        <w:t>f</w:t>
      </w:r>
      <w:r w:rsidRPr="00CE2187" w:rsidR="0052433D">
        <w:t xml:space="preserve">amily </w:t>
      </w:r>
      <w:r w:rsidRPr="00CE2187" w:rsidR="0064109C">
        <w:t>l</w:t>
      </w:r>
      <w:r w:rsidRPr="00CE2187" w:rsidR="0052433D">
        <w:t>ife</w:t>
      </w:r>
      <w:r w:rsidRPr="00CE2187" w:rsidR="00B0569C">
        <w:t>,</w:t>
      </w:r>
      <w:r w:rsidRPr="00CE2187" w:rsidR="00DB3B19">
        <w:rPr>
          <w:rStyle w:val="FootnoteReference"/>
        </w:rPr>
        <w:footnoteReference w:id="7"/>
      </w:r>
      <w:r w:rsidRPr="00CE2187" w:rsidR="00B0569C">
        <w:t xml:space="preserve"> </w:t>
      </w:r>
      <w:r w:rsidRPr="00CE2187" w:rsidR="000E6A98">
        <w:t>g</w:t>
      </w:r>
      <w:r w:rsidRPr="00CE2187" w:rsidR="00B0569C">
        <w:t>rant</w:t>
      </w:r>
      <w:r w:rsidRPr="00CE2187" w:rsidR="000E6A98">
        <w:t xml:space="preserve"> parents a large amount of discret</w:t>
      </w:r>
      <w:r w:rsidRPr="00CE2187" w:rsidR="00EA684F">
        <w:t>io</w:t>
      </w:r>
      <w:r w:rsidRPr="00CE2187" w:rsidR="000E6A98">
        <w:t>n in</w:t>
      </w:r>
      <w:r w:rsidRPr="00CE2187" w:rsidR="00B0569C">
        <w:t xml:space="preserve"> day-to</w:t>
      </w:r>
      <w:r w:rsidRPr="00CE2187" w:rsidR="00EA684F">
        <w:t>-</w:t>
      </w:r>
      <w:r w:rsidRPr="00CE2187" w:rsidR="00B0569C">
        <w:t>day</w:t>
      </w:r>
      <w:r w:rsidRPr="00CE2187" w:rsidR="000E6A98">
        <w:t xml:space="preserve"> choices about how they bring up their</w:t>
      </w:r>
      <w:r w:rsidRPr="00CE2187" w:rsidR="002F1B5A">
        <w:t xml:space="preserve"> </w:t>
      </w:r>
      <w:r w:rsidRPr="00CE2187" w:rsidR="000E6A98">
        <w:t>children</w:t>
      </w:r>
      <w:r w:rsidRPr="00CE2187" w:rsidR="0064109C">
        <w:t xml:space="preserve">. </w:t>
      </w:r>
      <w:r w:rsidRPr="00CE2187" w:rsidR="00194707">
        <w:t xml:space="preserve">Within the public law sphere, </w:t>
      </w:r>
      <w:r w:rsidRPr="00CE2187" w:rsidR="00C24437">
        <w:t>the State will only intervene</w:t>
      </w:r>
      <w:r w:rsidRPr="00CE2187" w:rsidR="00BA7D9F">
        <w:t xml:space="preserve"> once the</w:t>
      </w:r>
      <w:r w:rsidRPr="00CE2187" w:rsidR="00194707">
        <w:t xml:space="preserve"> </w:t>
      </w:r>
      <w:r w:rsidRPr="00CE2187" w:rsidR="002F1B5A">
        <w:t>“</w:t>
      </w:r>
      <w:r w:rsidRPr="00CE2187" w:rsidR="00BA7D9F">
        <w:t>child protection threshold”</w:t>
      </w:r>
      <w:r w:rsidRPr="00CE2187" w:rsidR="0037197B">
        <w:t xml:space="preserve"> is reached, in that the child is suffering, or likely to suffer significant harm</w:t>
      </w:r>
      <w:r w:rsidRPr="00CE2187" w:rsidR="00700C96">
        <w:t>.</w:t>
      </w:r>
      <w:r w:rsidRPr="00CE2187" w:rsidR="0037197B">
        <w:rPr>
          <w:rStyle w:val="FootnoteReference"/>
        </w:rPr>
        <w:footnoteReference w:id="8"/>
      </w:r>
      <w:r w:rsidRPr="00CE2187" w:rsidR="00700C96">
        <w:t xml:space="preserve"> </w:t>
      </w:r>
    </w:p>
    <w:p w:rsidRPr="00CE2187" w:rsidR="005B6E72" w:rsidP="005B6E72" w:rsidRDefault="005B6E72" w14:paraId="42F5EC7E" w14:textId="77777777">
      <w:pPr>
        <w:pStyle w:val="ListParagraph"/>
      </w:pPr>
    </w:p>
    <w:p w:rsidRPr="00CE2187" w:rsidR="004038D3" w:rsidP="003A1D75" w:rsidRDefault="00BA635B" w14:paraId="5E50A947" w14:textId="74A65FD8">
      <w:pPr>
        <w:pStyle w:val="ListParagraph"/>
        <w:numPr>
          <w:ilvl w:val="0"/>
          <w:numId w:val="2"/>
        </w:numPr>
        <w:jc w:val="both"/>
      </w:pPr>
      <w:r w:rsidRPr="00272B30">
        <w:t>However,</w:t>
      </w:r>
      <w:r w:rsidRPr="00272B30" w:rsidR="000E6A98">
        <w:t xml:space="preserve"> </w:t>
      </w:r>
      <w:r w:rsidRPr="00272B30">
        <w:t>i</w:t>
      </w:r>
      <w:r w:rsidRPr="00272B30" w:rsidR="004C418E">
        <w:t>n the healthcare context when</w:t>
      </w:r>
      <w:r w:rsidRPr="00272B30" w:rsidR="00A31F7B">
        <w:t xml:space="preserve"> disagreements arise between </w:t>
      </w:r>
      <w:r w:rsidRPr="00272B30" w:rsidR="005C326D">
        <w:t xml:space="preserve">families and </w:t>
      </w:r>
      <w:r w:rsidRPr="00272B30" w:rsidR="00DE2C70">
        <w:t>healthcare professionals</w:t>
      </w:r>
      <w:r w:rsidRPr="00272B30">
        <w:t xml:space="preserve"> about the care and treatment of children</w:t>
      </w:r>
      <w:r w:rsidRPr="00272B30" w:rsidR="00DE2C70">
        <w:t>,</w:t>
      </w:r>
      <w:r w:rsidRPr="00272B30" w:rsidR="004C418E">
        <w:t xml:space="preserve"> parental decisions</w:t>
      </w:r>
      <w:r w:rsidRPr="00272B30" w:rsidR="00DE2C70">
        <w:t xml:space="preserve"> may be challenged</w:t>
      </w:r>
      <w:r w:rsidRPr="00272B30" w:rsidR="00E713D3">
        <w:t xml:space="preserve"> at a</w:t>
      </w:r>
      <w:r w:rsidRPr="00272B30" w:rsidR="004717CC">
        <w:t xml:space="preserve"> </w:t>
      </w:r>
      <w:r w:rsidRPr="00641B66" w:rsidR="0002345D">
        <w:t>different, and</w:t>
      </w:r>
      <w:r w:rsidRPr="00641B66" w:rsidR="00E713D3">
        <w:t xml:space="preserve"> lower</w:t>
      </w:r>
      <w:r w:rsidRPr="00641B66" w:rsidR="0002345D">
        <w:t>,</w:t>
      </w:r>
      <w:r w:rsidRPr="00641B66" w:rsidR="00E713D3">
        <w:t xml:space="preserve"> threshold</w:t>
      </w:r>
      <w:r w:rsidRPr="00641B66" w:rsidR="004717CC">
        <w:t xml:space="preserve"> </w:t>
      </w:r>
      <w:r w:rsidRPr="00272B30" w:rsidR="004717CC">
        <w:t>-</w:t>
      </w:r>
      <w:r w:rsidRPr="00272B30" w:rsidR="00DE2C70">
        <w:t xml:space="preserve"> if</w:t>
      </w:r>
      <w:r w:rsidRPr="00272B30" w:rsidR="004C418E">
        <w:t xml:space="preserve"> </w:t>
      </w:r>
      <w:r w:rsidRPr="00272B30" w:rsidR="00373CF1">
        <w:t xml:space="preserve">they </w:t>
      </w:r>
      <w:r w:rsidRPr="00272B30" w:rsidR="004C418E">
        <w:t xml:space="preserve">are </w:t>
      </w:r>
      <w:r w:rsidRPr="00272B30" w:rsidR="009A3B05">
        <w:t>deemed to be not in accordance with the child’s welfare</w:t>
      </w:r>
      <w:r w:rsidRPr="00272B30" w:rsidR="00D67D55">
        <w:t xml:space="preserve"> (als</w:t>
      </w:r>
      <w:r w:rsidRPr="00272B30" w:rsidR="006965FF">
        <w:t>o often termed</w:t>
      </w:r>
      <w:r w:rsidRPr="00272B30" w:rsidR="00D67D55">
        <w:t xml:space="preserve"> </w:t>
      </w:r>
      <w:r w:rsidRPr="00272B30" w:rsidR="005B264D">
        <w:t>“</w:t>
      </w:r>
      <w:r w:rsidRPr="00272B30" w:rsidR="00D67D55">
        <w:t>best interests</w:t>
      </w:r>
      <w:r w:rsidRPr="00272B30" w:rsidR="005B264D">
        <w:t>”</w:t>
      </w:r>
      <w:r w:rsidRPr="00272B30" w:rsidR="00D67D55">
        <w:t>)</w:t>
      </w:r>
      <w:r w:rsidRPr="00272B30">
        <w:t>.</w:t>
      </w:r>
      <w:r w:rsidRPr="00272B30" w:rsidR="00284C03">
        <w:t xml:space="preserve"> </w:t>
      </w:r>
      <w:r w:rsidRPr="00272B30">
        <w:t>U</w:t>
      </w:r>
      <w:r w:rsidRPr="00272B30" w:rsidR="00E2261B">
        <w:t>ltimately</w:t>
      </w:r>
      <w:r w:rsidRPr="00272B30">
        <w:t>,</w:t>
      </w:r>
      <w:r w:rsidRPr="00272B30" w:rsidR="00284C03">
        <w:t xml:space="preserve"> </w:t>
      </w:r>
      <w:r w:rsidRPr="00272B30">
        <w:t>these disagreements may be</w:t>
      </w:r>
      <w:r w:rsidRPr="00272B30" w:rsidR="00E2261B">
        <w:t xml:space="preserve"> adjudicated</w:t>
      </w:r>
      <w:r w:rsidRPr="00272B30" w:rsidR="00C74777">
        <w:t xml:space="preserve"> on</w:t>
      </w:r>
      <w:r w:rsidRPr="00272B30" w:rsidR="00E2261B">
        <w:t xml:space="preserve"> by the courts</w:t>
      </w:r>
      <w:r w:rsidRPr="00272B30" w:rsidR="00FD669B">
        <w:t>, where the child’s welfare will be the court’s ‘paramount consideration’.</w:t>
      </w:r>
      <w:r w:rsidRPr="00272B30" w:rsidR="00FD669B">
        <w:rPr>
          <w:rStyle w:val="FootnoteReference"/>
        </w:rPr>
        <w:footnoteReference w:id="9"/>
      </w:r>
      <w:r w:rsidR="004D6C46">
        <w:t xml:space="preserve"> </w:t>
      </w:r>
      <w:r w:rsidRPr="00272B30" w:rsidR="00737893">
        <w:t>The</w:t>
      </w:r>
      <w:r w:rsidRPr="00272B30" w:rsidR="00F92299">
        <w:t xml:space="preserve"> role of pare</w:t>
      </w:r>
      <w:r w:rsidRPr="00272B30" w:rsidR="000F05A6">
        <w:t xml:space="preserve">nts in decision-making and </w:t>
      </w:r>
      <w:r w:rsidRPr="00272B30" w:rsidR="008B1659">
        <w:t xml:space="preserve">the threshold for State </w:t>
      </w:r>
      <w:r w:rsidRPr="00272B30" w:rsidR="000F05A6">
        <w:t>intervention</w:t>
      </w:r>
      <w:r w:rsidR="00272B30">
        <w:t xml:space="preserve"> </w:t>
      </w:r>
      <w:r w:rsidRPr="00272B30" w:rsidR="006243D9">
        <w:t>when disagreements arise</w:t>
      </w:r>
      <w:r w:rsidRPr="00272B30" w:rsidR="00737893">
        <w:t xml:space="preserve"> were raised in t</w:t>
      </w:r>
      <w:r w:rsidRPr="00272B30" w:rsidR="0080714F">
        <w:t>he</w:t>
      </w:r>
      <w:r w:rsidRPr="00272B30" w:rsidR="00737893">
        <w:t xml:space="preserve"> cases of </w:t>
      </w:r>
      <w:r w:rsidRPr="00272B30" w:rsidR="00C7646D">
        <w:rPr>
          <w:i/>
          <w:iCs/>
        </w:rPr>
        <w:t>Charlie Gard</w:t>
      </w:r>
      <w:r w:rsidRPr="00272B30" w:rsidR="00C7646D">
        <w:t xml:space="preserve"> </w:t>
      </w:r>
      <w:r w:rsidRPr="00272B30" w:rsidR="00DF0146">
        <w:rPr>
          <w:rStyle w:val="FootnoteReference"/>
        </w:rPr>
        <w:footnoteReference w:id="10"/>
      </w:r>
      <w:r w:rsidRPr="00272B30" w:rsidR="00DF0146">
        <w:t xml:space="preserve"> </w:t>
      </w:r>
      <w:r w:rsidRPr="00272B30" w:rsidR="00C7646D">
        <w:t>and</w:t>
      </w:r>
      <w:r w:rsidRPr="003A1D75" w:rsidR="00C7646D">
        <w:rPr>
          <w:sz w:val="24"/>
          <w:szCs w:val="24"/>
        </w:rPr>
        <w:t xml:space="preserve"> </w:t>
      </w:r>
      <w:r w:rsidRPr="00CE2187" w:rsidR="00C7646D">
        <w:rPr>
          <w:i/>
          <w:iCs/>
        </w:rPr>
        <w:t>Alfie Evans</w:t>
      </w:r>
      <w:r w:rsidRPr="00CE2187" w:rsidR="00DF0146">
        <w:rPr>
          <w:i/>
          <w:iCs/>
        </w:rPr>
        <w:t xml:space="preserve"> </w:t>
      </w:r>
      <w:r w:rsidRPr="00CE2187" w:rsidR="00DF0146">
        <w:rPr>
          <w:rStyle w:val="FootnoteReference"/>
          <w:i/>
          <w:iCs/>
        </w:rPr>
        <w:footnoteReference w:id="11"/>
      </w:r>
      <w:r w:rsidRPr="00CE2187" w:rsidR="00C7646D">
        <w:t xml:space="preserve"> in 2017</w:t>
      </w:r>
      <w:r w:rsidRPr="00CE2187" w:rsidR="007878AE">
        <w:t xml:space="preserve"> and </w:t>
      </w:r>
      <w:r w:rsidRPr="00CE2187" w:rsidR="002A4F68">
        <w:t>20</w:t>
      </w:r>
      <w:r w:rsidRPr="00CE2187" w:rsidR="007878AE">
        <w:t>18</w:t>
      </w:r>
      <w:r w:rsidRPr="00CE2187" w:rsidR="0080714F">
        <w:t xml:space="preserve"> - cases</w:t>
      </w:r>
      <w:r w:rsidRPr="00CE2187" w:rsidR="004038D3">
        <w:t xml:space="preserve"> which</w:t>
      </w:r>
      <w:r w:rsidRPr="00CE2187" w:rsidR="0080714F">
        <w:t xml:space="preserve"> have proved to be a turning point in</w:t>
      </w:r>
      <w:r w:rsidRPr="00CE2187" w:rsidR="004038D3">
        <w:t xml:space="preserve"> spark</w:t>
      </w:r>
      <w:r w:rsidRPr="00CE2187" w:rsidR="0080714F">
        <w:t>ing</w:t>
      </w:r>
      <w:r w:rsidRPr="00CE2187" w:rsidR="004038D3">
        <w:t xml:space="preserve"> public, </w:t>
      </w:r>
      <w:r w:rsidRPr="00CE2187" w:rsidR="00C7646D">
        <w:t xml:space="preserve">professional </w:t>
      </w:r>
      <w:r w:rsidRPr="00CE2187" w:rsidR="004038D3">
        <w:t xml:space="preserve">and political </w:t>
      </w:r>
      <w:r w:rsidRPr="00CE2187" w:rsidR="00C7646D">
        <w:t>debate</w:t>
      </w:r>
      <w:r w:rsidR="00902577">
        <w:t>s</w:t>
      </w:r>
      <w:r w:rsidRPr="00CE2187" w:rsidR="00C7646D">
        <w:t xml:space="preserve"> about how </w:t>
      </w:r>
      <w:r w:rsidRPr="00CE2187" w:rsidR="004038D3">
        <w:t xml:space="preserve">such </w:t>
      </w:r>
      <w:r w:rsidRPr="00CE2187" w:rsidR="00C7646D">
        <w:t xml:space="preserve">disagreements are handled. </w:t>
      </w:r>
    </w:p>
    <w:p w:rsidRPr="00CE2187" w:rsidR="002E5920" w:rsidP="002E5920" w:rsidRDefault="002E5920" w14:paraId="2BE6A683" w14:textId="77777777">
      <w:pPr>
        <w:pStyle w:val="ListParagraph"/>
        <w:jc w:val="both"/>
      </w:pPr>
    </w:p>
    <w:p w:rsidRPr="00CE2187" w:rsidR="003A2A12" w:rsidP="003A2A12" w:rsidRDefault="0054204A" w14:paraId="51FC9D90" w14:textId="1D5F4BA3">
      <w:pPr>
        <w:pStyle w:val="ListParagraph"/>
        <w:numPr>
          <w:ilvl w:val="0"/>
          <w:numId w:val="2"/>
        </w:numPr>
        <w:jc w:val="both"/>
      </w:pPr>
      <w:r w:rsidRPr="00CE2187">
        <w:t>In response</w:t>
      </w:r>
      <w:r w:rsidRPr="00CE2187" w:rsidR="006243D9">
        <w:t xml:space="preserve"> to this debate</w:t>
      </w:r>
      <w:r w:rsidRPr="00CE2187" w:rsidR="00B50C9B">
        <w:t xml:space="preserve">, </w:t>
      </w:r>
      <w:r w:rsidRPr="00CE2187" w:rsidR="00A6702A">
        <w:t>t</w:t>
      </w:r>
      <w:r w:rsidRPr="00CE2187" w:rsidR="00544D38">
        <w:t xml:space="preserve">he </w:t>
      </w:r>
      <w:r w:rsidRPr="00CE2187" w:rsidR="00C7646D">
        <w:t>Nuffield</w:t>
      </w:r>
      <w:r w:rsidRPr="00CE2187" w:rsidR="00544D38">
        <w:t xml:space="preserve"> Council on Bioethics</w:t>
      </w:r>
      <w:r w:rsidRPr="00CE2187" w:rsidR="00C7646D">
        <w:t xml:space="preserve"> commissioned </w:t>
      </w:r>
      <w:r w:rsidRPr="00CE2187" w:rsidR="00AF4A08">
        <w:t>two</w:t>
      </w:r>
      <w:r w:rsidRPr="00CE2187" w:rsidR="00C7646D">
        <w:t xml:space="preserve"> literature review</w:t>
      </w:r>
      <w:r w:rsidRPr="00CE2187" w:rsidR="00C10940">
        <w:t>s on the topic</w:t>
      </w:r>
      <w:r w:rsidRPr="00CE2187" w:rsidR="00C7646D">
        <w:t xml:space="preserve"> in 2018</w:t>
      </w:r>
      <w:r w:rsidRPr="00CE2187" w:rsidR="00F36C14">
        <w:t>.</w:t>
      </w:r>
      <w:r w:rsidRPr="00CE2187" w:rsidR="00DF0146">
        <w:rPr>
          <w:rStyle w:val="FootnoteReference"/>
        </w:rPr>
        <w:footnoteReference w:id="12"/>
      </w:r>
      <w:r w:rsidRPr="00CE2187" w:rsidR="00C96EF5">
        <w:t xml:space="preserve"> </w:t>
      </w:r>
      <w:r w:rsidRPr="00CE2187" w:rsidR="00F36C14">
        <w:t>The review by Bhatia focused</w:t>
      </w:r>
      <w:r w:rsidRPr="00CE2187" w:rsidR="00CD6BDF">
        <w:t xml:space="preserve"> on disagreements in the care of critically</w:t>
      </w:r>
      <w:r w:rsidRPr="00CE2187" w:rsidR="0034678B">
        <w:t xml:space="preserve"> </w:t>
      </w:r>
      <w:r w:rsidRPr="00CE2187" w:rsidR="00CD6BDF">
        <w:t xml:space="preserve">ill children and </w:t>
      </w:r>
      <w:r w:rsidRPr="00CE2187" w:rsidR="006A4D15">
        <w:t>concluded that</w:t>
      </w:r>
      <w:r w:rsidRPr="00CE2187" w:rsidR="002248BB">
        <w:t xml:space="preserve"> the key challenges for</w:t>
      </w:r>
      <w:r w:rsidRPr="00CE2187" w:rsidR="00026C1A">
        <w:t xml:space="preserve"> the</w:t>
      </w:r>
      <w:r w:rsidRPr="00CE2187" w:rsidR="002248BB">
        <w:t xml:space="preserve"> future were </w:t>
      </w:r>
      <w:r w:rsidRPr="00CE2187" w:rsidR="00BE5437">
        <w:t>the role and impact of the internet and social media</w:t>
      </w:r>
      <w:r w:rsidRPr="00CE2187" w:rsidR="0081149C">
        <w:t xml:space="preserve"> </w:t>
      </w:r>
      <w:r w:rsidRPr="00CE2187" w:rsidR="00BE5437">
        <w:t>in treatment decisions, innovative treatments, and</w:t>
      </w:r>
      <w:r w:rsidRPr="00466EBC" w:rsidR="00BE5437">
        <w:rPr>
          <w:color w:val="0070C0"/>
        </w:rPr>
        <w:t xml:space="preserve"> </w:t>
      </w:r>
      <w:r w:rsidRPr="0084630C" w:rsidR="00BE5437">
        <w:rPr>
          <w:color w:val="000000" w:themeColor="text1"/>
        </w:rPr>
        <w:t>child</w:t>
      </w:r>
      <w:r w:rsidR="00242F64">
        <w:rPr>
          <w:color w:val="000000" w:themeColor="text1"/>
        </w:rPr>
        <w:t xml:space="preserve"> </w:t>
      </w:r>
      <w:r w:rsidRPr="0084630C" w:rsidR="00BE5437">
        <w:rPr>
          <w:color w:val="000000" w:themeColor="text1"/>
        </w:rPr>
        <w:t>medical tourism</w:t>
      </w:r>
      <w:r w:rsidRPr="0084630C" w:rsidR="0081149C">
        <w:rPr>
          <w:color w:val="000000" w:themeColor="text1"/>
        </w:rPr>
        <w:t>.</w:t>
      </w:r>
      <w:r w:rsidRPr="0084630C" w:rsidR="00DF0146">
        <w:rPr>
          <w:rStyle w:val="FootnoteReference"/>
          <w:color w:val="000000" w:themeColor="text1"/>
        </w:rPr>
        <w:footnoteReference w:id="13"/>
      </w:r>
      <w:r w:rsidRPr="0084630C" w:rsidR="00C10940">
        <w:rPr>
          <w:color w:val="000000" w:themeColor="text1"/>
        </w:rPr>
        <w:t xml:space="preserve"> </w:t>
      </w:r>
      <w:r w:rsidRPr="00CE2187" w:rsidR="00EA6BEC">
        <w:t xml:space="preserve">A </w:t>
      </w:r>
      <w:r w:rsidRPr="00CE2187" w:rsidR="00C17AB0">
        <w:t>second</w:t>
      </w:r>
      <w:r w:rsidRPr="00CE2187" w:rsidR="003C4B2E">
        <w:t xml:space="preserve"> </w:t>
      </w:r>
      <w:r w:rsidRPr="00CE2187" w:rsidR="00EA6BEC">
        <w:t>review by Austin</w:t>
      </w:r>
      <w:r w:rsidRPr="00CE2187" w:rsidR="00C96A86">
        <w:t xml:space="preserve"> on resolution mechanisms</w:t>
      </w:r>
      <w:r w:rsidRPr="00CE2187" w:rsidR="00EA6BEC">
        <w:t xml:space="preserve"> </w:t>
      </w:r>
      <w:r w:rsidRPr="00CE2187" w:rsidR="006E076D">
        <w:t>identified five</w:t>
      </w:r>
      <w:r w:rsidRPr="00CE2187" w:rsidR="00EA6BEC">
        <w:t xml:space="preserve"> </w:t>
      </w:r>
      <w:r w:rsidRPr="00CE2187" w:rsidR="00B23DBE">
        <w:t>possible processes</w:t>
      </w:r>
      <w:r w:rsidRPr="00CE2187" w:rsidR="00B27322">
        <w:t>;</w:t>
      </w:r>
      <w:r w:rsidRPr="00CE2187" w:rsidR="00BC3875">
        <w:t xml:space="preserve"> </w:t>
      </w:r>
      <w:r w:rsidRPr="00CE2187" w:rsidR="00B27322">
        <w:t>communication</w:t>
      </w:r>
      <w:r w:rsidRPr="00CE2187" w:rsidR="006E076D">
        <w:t xml:space="preserve"> between families and </w:t>
      </w:r>
      <w:r w:rsidRPr="00CE2187" w:rsidR="00B27322">
        <w:t>healthcare professionals</w:t>
      </w:r>
      <w:r w:rsidRPr="00CE2187" w:rsidR="003C4B2E">
        <w:t>,</w:t>
      </w:r>
      <w:r w:rsidRPr="00CE2187" w:rsidR="00BC3875">
        <w:t xml:space="preserve"> expert second opinions</w:t>
      </w:r>
      <w:r w:rsidRPr="00CE2187" w:rsidR="003C4B2E">
        <w:t>,</w:t>
      </w:r>
      <w:r w:rsidRPr="00CE2187" w:rsidR="006E076D">
        <w:t xml:space="preserve"> clinical ethics committee</w:t>
      </w:r>
      <w:r w:rsidRPr="00CE2187" w:rsidR="003C4B2E">
        <w:t>s,</w:t>
      </w:r>
      <w:r w:rsidRPr="00CE2187" w:rsidR="006E076D">
        <w:t xml:space="preserve"> mediation</w:t>
      </w:r>
      <w:r w:rsidRPr="00CE2187" w:rsidR="003C4B2E">
        <w:t>,</w:t>
      </w:r>
      <w:r w:rsidRPr="00CE2187" w:rsidR="006E076D">
        <w:t xml:space="preserve"> and court proceedings.</w:t>
      </w:r>
      <w:r w:rsidRPr="00CE2187" w:rsidR="00B23DBE">
        <w:rPr>
          <w:rStyle w:val="FootnoteReference"/>
        </w:rPr>
        <w:footnoteReference w:id="14"/>
      </w:r>
      <w:r w:rsidRPr="00CE2187" w:rsidR="001D68FD">
        <w:t xml:space="preserve"> </w:t>
      </w:r>
      <w:r w:rsidRPr="00CE2187" w:rsidR="00545591">
        <w:t>She</w:t>
      </w:r>
      <w:r w:rsidRPr="00CE2187" w:rsidR="00B15179">
        <w:t xml:space="preserve"> found</w:t>
      </w:r>
      <w:r w:rsidRPr="00CE2187" w:rsidR="00545591">
        <w:t xml:space="preserve"> that</w:t>
      </w:r>
      <w:r w:rsidRPr="00CE2187" w:rsidR="00AF76CD">
        <w:t xml:space="preserve"> whilst most disagreements were resolved through communication,</w:t>
      </w:r>
      <w:r w:rsidRPr="00CE2187" w:rsidR="00C047E9">
        <w:t xml:space="preserve"> there were difficulties with timings</w:t>
      </w:r>
      <w:r w:rsidRPr="00CE2187" w:rsidR="00C433B7">
        <w:t xml:space="preserve">, </w:t>
      </w:r>
      <w:r w:rsidRPr="00CE2187" w:rsidR="00C047E9">
        <w:t xml:space="preserve">a reluctance to bring in third-party </w:t>
      </w:r>
      <w:r w:rsidRPr="00CE2187" w:rsidR="00E22B36">
        <w:t>help</w:t>
      </w:r>
      <w:r w:rsidRPr="00CE2187" w:rsidR="00C93439">
        <w:t xml:space="preserve"> at an early stage</w:t>
      </w:r>
      <w:r w:rsidRPr="00CE2187" w:rsidR="00E55F87">
        <w:t>,</w:t>
      </w:r>
      <w:r w:rsidRPr="00CE2187" w:rsidR="00C433B7">
        <w:t xml:space="preserve"> and a need for further research into why certain mechanisms were or were not effective.</w:t>
      </w:r>
      <w:r w:rsidRPr="00CE2187" w:rsidR="00A576DF">
        <w:rPr>
          <w:rStyle w:val="FootnoteReference"/>
        </w:rPr>
        <w:footnoteReference w:id="15"/>
      </w:r>
      <w:r w:rsidRPr="00CE2187" w:rsidR="00E55F87">
        <w:t xml:space="preserve"> </w:t>
      </w:r>
      <w:r w:rsidRPr="00CE2187" w:rsidR="00C10940">
        <w:t>Following these</w:t>
      </w:r>
      <w:r w:rsidRPr="00CE2187" w:rsidR="00AA1BEA">
        <w:t>,</w:t>
      </w:r>
      <w:r w:rsidRPr="00CE2187" w:rsidR="00C10940">
        <w:t xml:space="preserve"> a</w:t>
      </w:r>
      <w:r w:rsidRPr="00CE2187" w:rsidR="00C7646D">
        <w:t xml:space="preserve"> briefing note</w:t>
      </w:r>
      <w:r w:rsidRPr="00CE2187" w:rsidR="00C10940">
        <w:t xml:space="preserve"> was produced</w:t>
      </w:r>
      <w:r w:rsidRPr="00CE2187" w:rsidR="00C7646D">
        <w:t xml:space="preserve"> in 2019</w:t>
      </w:r>
      <w:r w:rsidRPr="00CE2187" w:rsidR="00DF0146">
        <w:t>,</w:t>
      </w:r>
      <w:r w:rsidRPr="00CE2187" w:rsidR="00C7646D">
        <w:t xml:space="preserve"> which </w:t>
      </w:r>
      <w:r w:rsidRPr="00CE2187" w:rsidR="005C01F8">
        <w:t>outlined</w:t>
      </w:r>
      <w:r w:rsidRPr="00CE2187" w:rsidR="00331F16">
        <w:t xml:space="preserve"> </w:t>
      </w:r>
      <w:r w:rsidRPr="00641B66" w:rsidR="00331F16">
        <w:t>some</w:t>
      </w:r>
      <w:r w:rsidRPr="00641B66" w:rsidR="00272277">
        <w:t xml:space="preserve"> potential</w:t>
      </w:r>
      <w:r w:rsidRPr="00641B66" w:rsidR="00331F16">
        <w:t xml:space="preserve"> ‘</w:t>
      </w:r>
      <w:r w:rsidRPr="00CE2187" w:rsidR="00331F16">
        <w:t xml:space="preserve">areas </w:t>
      </w:r>
      <w:r w:rsidRPr="00CE2187" w:rsidR="00F54030">
        <w:t>of</w:t>
      </w:r>
      <w:r w:rsidRPr="00CE2187" w:rsidR="00331F16">
        <w:t xml:space="preserve"> action’</w:t>
      </w:r>
      <w:r w:rsidRPr="00CE2187" w:rsidR="005C01F8">
        <w:t xml:space="preserve"> for policy makers, health authorities, and</w:t>
      </w:r>
      <w:r w:rsidR="001D4686">
        <w:t xml:space="preserve"> </w:t>
      </w:r>
      <w:r w:rsidRPr="0059787A" w:rsidR="005C01F8">
        <w:t>researchers</w:t>
      </w:r>
      <w:r w:rsidRPr="0059787A" w:rsidR="001D4686">
        <w:t xml:space="preserve"> to consider.</w:t>
      </w:r>
      <w:r w:rsidRPr="0059787A" w:rsidR="001037F7">
        <w:t xml:space="preserve"> These included</w:t>
      </w:r>
      <w:r w:rsidRPr="0059787A" w:rsidR="002C2873">
        <w:t xml:space="preserve"> </w:t>
      </w:r>
      <w:r w:rsidRPr="0059787A" w:rsidR="00362CE1">
        <w:t>the development of processes</w:t>
      </w:r>
      <w:r w:rsidRPr="0059787A" w:rsidR="001037F7">
        <w:t xml:space="preserve"> and </w:t>
      </w:r>
      <w:r w:rsidRPr="0059787A" w:rsidR="00362CE1">
        <w:t xml:space="preserve">frameworks </w:t>
      </w:r>
      <w:r w:rsidRPr="0059787A" w:rsidR="0087776F">
        <w:t xml:space="preserve">to help </w:t>
      </w:r>
      <w:r w:rsidRPr="0059787A" w:rsidR="001E0C0A">
        <w:t>manag</w:t>
      </w:r>
      <w:r w:rsidRPr="0059787A" w:rsidR="0087776F">
        <w:t>e</w:t>
      </w:r>
      <w:r w:rsidRPr="0059787A" w:rsidR="001E0C0A">
        <w:t xml:space="preserve"> </w:t>
      </w:r>
      <w:r w:rsidRPr="00CE2187" w:rsidR="001E0C0A">
        <w:t>disagreement</w:t>
      </w:r>
      <w:r w:rsidR="003010C7">
        <w:t>s</w:t>
      </w:r>
      <w:r w:rsidRPr="00CE2187" w:rsidR="001E0C0A">
        <w:t>; recommended or mandatory training on ethics and communication</w:t>
      </w:r>
      <w:r w:rsidRPr="00CE2187" w:rsidR="00DB06A2">
        <w:t xml:space="preserve"> for healthcare professionals and support for those involved in conflict; </w:t>
      </w:r>
      <w:r w:rsidRPr="00CE2187" w:rsidR="00021795">
        <w:t>addressing the need for</w:t>
      </w:r>
      <w:r w:rsidRPr="00CE2187" w:rsidR="00C4122D">
        <w:t xml:space="preserve"> better information for parents on decision-making processes and the provision of independe</w:t>
      </w:r>
      <w:r w:rsidRPr="00CE2187" w:rsidR="00A51083">
        <w:t xml:space="preserve">nt legal advice and financial support; and further research on the effectiveness of various dispute resolution mechanisms and the impact of </w:t>
      </w:r>
      <w:r w:rsidRPr="00CE2187" w:rsidR="00FF3992">
        <w:t>any changes to the law.</w:t>
      </w:r>
      <w:r w:rsidRPr="00CE2187" w:rsidR="002047A5">
        <w:rPr>
          <w:rStyle w:val="FootnoteReference"/>
        </w:rPr>
        <w:footnoteReference w:id="16"/>
      </w:r>
      <w:r w:rsidRPr="00CE2187" w:rsidR="00AD799F">
        <w:t xml:space="preserve"> </w:t>
      </w:r>
    </w:p>
    <w:p w:rsidRPr="00CE2187" w:rsidR="0060190E" w:rsidP="0060190E" w:rsidRDefault="0060190E" w14:paraId="4CA564F4" w14:textId="77777777">
      <w:pPr>
        <w:pStyle w:val="ListParagraph"/>
        <w:jc w:val="both"/>
      </w:pPr>
    </w:p>
    <w:p w:rsidRPr="00CE2187" w:rsidR="00986486" w:rsidP="0060190E" w:rsidRDefault="007E14E3" w14:paraId="0640C164" w14:textId="12F92E77">
      <w:pPr>
        <w:pStyle w:val="ListParagraph"/>
        <w:numPr>
          <w:ilvl w:val="0"/>
          <w:numId w:val="2"/>
        </w:numPr>
        <w:jc w:val="both"/>
      </w:pPr>
      <w:r w:rsidRPr="0059787A">
        <w:rPr>
          <w:rFonts w:cstheme="minorHAnsi"/>
        </w:rPr>
        <w:t>An overview of</w:t>
      </w:r>
      <w:r w:rsidRPr="0059787A" w:rsidR="006F2C17">
        <w:rPr>
          <w:rFonts w:cstheme="minorHAnsi"/>
        </w:rPr>
        <w:t xml:space="preserve"> contemporary literature for the purposes of the current review</w:t>
      </w:r>
      <w:r w:rsidRPr="0059787A" w:rsidR="00242550">
        <w:rPr>
          <w:rFonts w:cstheme="minorHAnsi"/>
        </w:rPr>
        <w:t xml:space="preserve"> </w:t>
      </w:r>
      <w:r w:rsidRPr="0059787A" w:rsidR="00566D6E">
        <w:rPr>
          <w:rFonts w:cstheme="minorHAnsi"/>
        </w:rPr>
        <w:t>suggests that disagreements or ‘tensions’ in the care of</w:t>
      </w:r>
      <w:r w:rsidRPr="0059787A" w:rsidR="00F63566">
        <w:rPr>
          <w:rFonts w:cstheme="minorHAnsi"/>
        </w:rPr>
        <w:t xml:space="preserve"> </w:t>
      </w:r>
      <w:r w:rsidRPr="0059787A" w:rsidR="00566D6E">
        <w:rPr>
          <w:rFonts w:cstheme="minorHAnsi"/>
        </w:rPr>
        <w:t>ill children are not uncommon</w:t>
      </w:r>
      <w:r w:rsidRPr="0059787A" w:rsidR="00646CD6">
        <w:rPr>
          <w:rFonts w:cstheme="minorHAnsi"/>
        </w:rPr>
        <w:t>.</w:t>
      </w:r>
      <w:r w:rsidRPr="0059787A" w:rsidR="0091042F">
        <w:rPr>
          <w:rFonts w:cstheme="minorHAnsi"/>
        </w:rPr>
        <w:t xml:space="preserve"> Whilst there is little recent evidence on the prevalence of disagreements in the</w:t>
      </w:r>
      <w:r w:rsidRPr="0059787A" w:rsidR="00C95CD9">
        <w:rPr>
          <w:rFonts w:cstheme="minorHAnsi"/>
        </w:rPr>
        <w:t xml:space="preserve"> specific context of</w:t>
      </w:r>
      <w:r w:rsidRPr="0059787A" w:rsidR="00B46E3D">
        <w:rPr>
          <w:rFonts w:cstheme="minorHAnsi"/>
        </w:rPr>
        <w:t xml:space="preserve"> the</w:t>
      </w:r>
      <w:r w:rsidRPr="0059787A" w:rsidR="00C95CD9">
        <w:rPr>
          <w:rFonts w:cstheme="minorHAnsi"/>
        </w:rPr>
        <w:t xml:space="preserve"> </w:t>
      </w:r>
      <w:r w:rsidRPr="0059787A" w:rsidR="00C95CD9">
        <w:rPr>
          <w:rFonts w:cstheme="minorHAnsi"/>
          <w:i/>
          <w:iCs/>
        </w:rPr>
        <w:t>critically</w:t>
      </w:r>
      <w:r w:rsidRPr="0059787A" w:rsidR="007C678B">
        <w:rPr>
          <w:rFonts w:cstheme="minorHAnsi"/>
          <w:i/>
          <w:iCs/>
        </w:rPr>
        <w:t xml:space="preserve"> </w:t>
      </w:r>
      <w:r w:rsidRPr="0059787A" w:rsidR="00C95CD9">
        <w:rPr>
          <w:rFonts w:cstheme="minorHAnsi"/>
          <w:i/>
          <w:iCs/>
        </w:rPr>
        <w:t>ill child</w:t>
      </w:r>
      <w:r w:rsidRPr="0059787A" w:rsidR="007A76FF">
        <w:rPr>
          <w:rFonts w:cstheme="minorHAnsi"/>
          <w:i/>
          <w:iCs/>
        </w:rPr>
        <w:t xml:space="preserve"> in England</w:t>
      </w:r>
      <w:r w:rsidRPr="0059787A" w:rsidR="00C95CD9">
        <w:rPr>
          <w:rFonts w:cstheme="minorHAnsi"/>
          <w:i/>
          <w:iCs/>
        </w:rPr>
        <w:t xml:space="preserve">, </w:t>
      </w:r>
      <w:r w:rsidRPr="00CE2187" w:rsidR="00C95CD9">
        <w:rPr>
          <w:rFonts w:cstheme="minorHAnsi"/>
        </w:rPr>
        <w:t xml:space="preserve">a </w:t>
      </w:r>
      <w:r w:rsidRPr="00CE2187" w:rsidR="009C3047">
        <w:rPr>
          <w:rFonts w:cstheme="minorHAnsi"/>
        </w:rPr>
        <w:t>more broadly drawn study of</w:t>
      </w:r>
      <w:r w:rsidRPr="00CE2187" w:rsidR="003A2A12">
        <w:rPr>
          <w:rFonts w:cstheme="minorHAnsi"/>
        </w:rPr>
        <w:t xml:space="preserve"> </w:t>
      </w:r>
      <w:r w:rsidRPr="00CE2187" w:rsidR="00E34AC3">
        <w:rPr>
          <w:rFonts w:cstheme="minorHAnsi"/>
        </w:rPr>
        <w:t>children admitted</w:t>
      </w:r>
      <w:r w:rsidRPr="00CE2187" w:rsidR="000930AE">
        <w:rPr>
          <w:rFonts w:cstheme="minorHAnsi"/>
        </w:rPr>
        <w:t xml:space="preserve"> for 5 days or more</w:t>
      </w:r>
      <w:r w:rsidRPr="00CE2187" w:rsidR="00E34AC3">
        <w:rPr>
          <w:rFonts w:cstheme="minorHAnsi"/>
        </w:rPr>
        <w:t xml:space="preserve"> to a</w:t>
      </w:r>
      <w:r w:rsidRPr="00CE2187" w:rsidR="000930AE">
        <w:rPr>
          <w:rFonts w:cstheme="minorHAnsi"/>
        </w:rPr>
        <w:t xml:space="preserve"> hospital in Newcastle upon Tyn</w:t>
      </w:r>
      <w:r w:rsidRPr="00CE2187" w:rsidR="00F92F3A">
        <w:rPr>
          <w:rFonts w:cstheme="minorHAnsi"/>
        </w:rPr>
        <w:t>e found that there was</w:t>
      </w:r>
      <w:r w:rsidRPr="00CE2187" w:rsidR="00B86D1F">
        <w:rPr>
          <w:rFonts w:cstheme="minorHAnsi"/>
        </w:rPr>
        <w:t xml:space="preserve"> ‘as substantial level of tension in the paediatric in-patient setting’</w:t>
      </w:r>
      <w:r w:rsidRPr="00CE2187" w:rsidR="00B74D00">
        <w:rPr>
          <w:rFonts w:cstheme="minorHAnsi"/>
        </w:rPr>
        <w:t>, with</w:t>
      </w:r>
      <w:r w:rsidRPr="00CE2187" w:rsidR="000930AE">
        <w:rPr>
          <w:rFonts w:cstheme="minorHAnsi"/>
        </w:rPr>
        <w:t xml:space="preserve"> </w:t>
      </w:r>
      <w:r w:rsidRPr="00CE2187" w:rsidR="003A2A12">
        <w:rPr>
          <w:rFonts w:ascii="Calibri" w:hAnsi="Calibri" w:cs="Calibri"/>
          <w:color w:val="000000"/>
        </w:rPr>
        <w:t>42%</w:t>
      </w:r>
      <w:r w:rsidRPr="00CE2187" w:rsidR="00B74D00">
        <w:rPr>
          <w:rFonts w:ascii="Calibri" w:hAnsi="Calibri" w:cs="Calibri"/>
          <w:color w:val="000000"/>
        </w:rPr>
        <w:t xml:space="preserve"> </w:t>
      </w:r>
      <w:r w:rsidRPr="0059787A" w:rsidR="00B74D00">
        <w:rPr>
          <w:rFonts w:ascii="Calibri" w:hAnsi="Calibri" w:cs="Calibri"/>
        </w:rPr>
        <w:t xml:space="preserve">of </w:t>
      </w:r>
      <w:r w:rsidRPr="0059787A" w:rsidR="00A7528A">
        <w:rPr>
          <w:rFonts w:ascii="Calibri" w:hAnsi="Calibri" w:cs="Calibri"/>
        </w:rPr>
        <w:t>the 153 patient</w:t>
      </w:r>
      <w:r w:rsidRPr="0059787A" w:rsidR="00CC0246">
        <w:rPr>
          <w:rFonts w:ascii="Calibri" w:hAnsi="Calibri" w:cs="Calibri"/>
        </w:rPr>
        <w:t xml:space="preserve"> cases studied</w:t>
      </w:r>
      <w:r w:rsidRPr="0059787A" w:rsidR="00B74D00">
        <w:rPr>
          <w:rFonts w:ascii="Calibri" w:hAnsi="Calibri" w:cs="Calibri"/>
        </w:rPr>
        <w:t xml:space="preserve"> having</w:t>
      </w:r>
      <w:r w:rsidRPr="0059787A" w:rsidR="003A2A12">
        <w:rPr>
          <w:rFonts w:ascii="Calibri" w:hAnsi="Calibri" w:cs="Calibri"/>
        </w:rPr>
        <w:t xml:space="preserve"> a source of tension an</w:t>
      </w:r>
      <w:r w:rsidRPr="0059787A" w:rsidR="00BB77DD">
        <w:rPr>
          <w:rFonts w:ascii="Calibri" w:hAnsi="Calibri" w:cs="Calibri"/>
        </w:rPr>
        <w:t xml:space="preserve">d </w:t>
      </w:r>
      <w:r w:rsidRPr="0059787A" w:rsidR="004467A5">
        <w:rPr>
          <w:rFonts w:ascii="Calibri" w:hAnsi="Calibri" w:cs="Calibri"/>
        </w:rPr>
        <w:t>almost half of these</w:t>
      </w:r>
      <w:r w:rsidRPr="0059787A" w:rsidR="00B74D00">
        <w:rPr>
          <w:rFonts w:ascii="Calibri" w:hAnsi="Calibri" w:cs="Calibri"/>
        </w:rPr>
        <w:t xml:space="preserve"> with</w:t>
      </w:r>
      <w:r w:rsidRPr="0059787A" w:rsidR="003A2A12">
        <w:rPr>
          <w:rFonts w:ascii="Calibri" w:hAnsi="Calibri" w:cs="Calibri"/>
        </w:rPr>
        <w:t xml:space="preserve"> multiple sources of tension.</w:t>
      </w:r>
      <w:r w:rsidRPr="0059787A" w:rsidR="004467A5">
        <w:rPr>
          <w:rStyle w:val="FootnoteReference"/>
          <w:rFonts w:ascii="Calibri" w:hAnsi="Calibri" w:cs="Calibri"/>
        </w:rPr>
        <w:footnoteReference w:id="17"/>
      </w:r>
      <w:r w:rsidRPr="0059787A" w:rsidR="003A2A12">
        <w:rPr>
          <w:rFonts w:ascii="Calibri" w:hAnsi="Calibri" w:cs="Calibri"/>
        </w:rPr>
        <w:t xml:space="preserve"> </w:t>
      </w:r>
      <w:r w:rsidRPr="0059787A" w:rsidR="00AC3E9F">
        <w:rPr>
          <w:rFonts w:cstheme="minorHAnsi"/>
        </w:rPr>
        <w:t>A</w:t>
      </w:r>
      <w:r w:rsidRPr="0059787A" w:rsidR="009352BD">
        <w:rPr>
          <w:rFonts w:cstheme="minorHAnsi"/>
        </w:rPr>
        <w:t>n older</w:t>
      </w:r>
      <w:r w:rsidRPr="0059787A" w:rsidR="00D7279A">
        <w:rPr>
          <w:rFonts w:cstheme="minorHAnsi"/>
        </w:rPr>
        <w:t xml:space="preserve"> Canadian study</w:t>
      </w:r>
      <w:r w:rsidRPr="0059787A" w:rsidR="007A76FF">
        <w:rPr>
          <w:rFonts w:cstheme="minorHAnsi"/>
        </w:rPr>
        <w:t xml:space="preserve"> on</w:t>
      </w:r>
      <w:r w:rsidRPr="0059787A" w:rsidR="005D5C4B">
        <w:rPr>
          <w:rFonts w:cstheme="minorHAnsi"/>
        </w:rPr>
        <w:t xml:space="preserve"> the</w:t>
      </w:r>
      <w:r w:rsidRPr="0059787A" w:rsidR="00A269DE">
        <w:rPr>
          <w:rFonts w:cstheme="minorHAnsi"/>
        </w:rPr>
        <w:t xml:space="preserve"> paediatric conflict</w:t>
      </w:r>
      <w:r w:rsidRPr="0059787A" w:rsidR="00FF01F1">
        <w:rPr>
          <w:rFonts w:cstheme="minorHAnsi"/>
        </w:rPr>
        <w:t xml:space="preserve"> experiences of a wide-range of healthcare professionals</w:t>
      </w:r>
      <w:r w:rsidRPr="0059787A" w:rsidR="007A76FF">
        <w:rPr>
          <w:rFonts w:cstheme="minorHAnsi"/>
        </w:rPr>
        <w:t xml:space="preserve"> </w:t>
      </w:r>
      <w:r w:rsidRPr="0059787A" w:rsidR="008409D8">
        <w:rPr>
          <w:rFonts w:cstheme="minorHAnsi"/>
        </w:rPr>
        <w:t>found that of those</w:t>
      </w:r>
      <w:r w:rsidRPr="0059787A" w:rsidR="00163394">
        <w:rPr>
          <w:rFonts w:cstheme="minorHAnsi"/>
        </w:rPr>
        <w:t xml:space="preserve"> who had witnessed or participated in</w:t>
      </w:r>
      <w:r w:rsidRPr="0059787A" w:rsidR="009352BD">
        <w:rPr>
          <w:rFonts w:cstheme="minorHAnsi"/>
        </w:rPr>
        <w:t xml:space="preserve"> </w:t>
      </w:r>
      <w:r w:rsidRPr="0059787A" w:rsidR="000F43D7">
        <w:rPr>
          <w:rFonts w:cstheme="minorHAnsi"/>
        </w:rPr>
        <w:t>end-of-life discussions</w:t>
      </w:r>
      <w:r w:rsidRPr="0059787A" w:rsidR="00CE251C">
        <w:rPr>
          <w:rFonts w:cstheme="minorHAnsi"/>
        </w:rPr>
        <w:t xml:space="preserve"> (</w:t>
      </w:r>
      <w:r w:rsidRPr="0059787A" w:rsidR="004F07F4">
        <w:rPr>
          <w:rFonts w:cstheme="minorHAnsi"/>
        </w:rPr>
        <w:t>466 out of</w:t>
      </w:r>
      <w:r w:rsidRPr="0059787A" w:rsidR="00343608">
        <w:rPr>
          <w:rFonts w:cstheme="minorHAnsi"/>
        </w:rPr>
        <w:t xml:space="preserve"> </w:t>
      </w:r>
      <w:r w:rsidRPr="0059787A" w:rsidR="004F07F4">
        <w:rPr>
          <w:rFonts w:cstheme="minorHAnsi"/>
        </w:rPr>
        <w:t>946 respondents)</w:t>
      </w:r>
      <w:r w:rsidRPr="0059787A" w:rsidR="000F43D7">
        <w:rPr>
          <w:rFonts w:cstheme="minorHAnsi"/>
        </w:rPr>
        <w:t xml:space="preserve">, </w:t>
      </w:r>
      <w:r w:rsidRPr="00CE2187" w:rsidR="000F43D7">
        <w:rPr>
          <w:rFonts w:cstheme="minorHAnsi"/>
        </w:rPr>
        <w:t>73%</w:t>
      </w:r>
      <w:r w:rsidRPr="00343608" w:rsidR="00851A3B">
        <w:rPr>
          <w:rFonts w:cstheme="minorHAnsi"/>
          <w:color w:val="00B050"/>
        </w:rPr>
        <w:t xml:space="preserve"> </w:t>
      </w:r>
      <w:r w:rsidRPr="00CE2187" w:rsidR="000F43D7">
        <w:rPr>
          <w:rFonts w:cstheme="minorHAnsi"/>
        </w:rPr>
        <w:t>ha</w:t>
      </w:r>
      <w:r w:rsidRPr="00CE2187" w:rsidR="009352BD">
        <w:rPr>
          <w:rFonts w:cstheme="minorHAnsi"/>
        </w:rPr>
        <w:t>d</w:t>
      </w:r>
      <w:r w:rsidRPr="00CE2187" w:rsidR="000F43D7">
        <w:rPr>
          <w:rFonts w:cstheme="minorHAnsi"/>
        </w:rPr>
        <w:t xml:space="preserve"> </w:t>
      </w:r>
      <w:r w:rsidRPr="00CE2187" w:rsidR="00170FD1">
        <w:rPr>
          <w:rFonts w:cstheme="minorHAnsi"/>
        </w:rPr>
        <w:t xml:space="preserve">experienced at least one </w:t>
      </w:r>
      <w:r w:rsidRPr="00CE2187" w:rsidR="00DF7718">
        <w:rPr>
          <w:rFonts w:cstheme="minorHAnsi"/>
        </w:rPr>
        <w:t>conflict</w:t>
      </w:r>
      <w:r w:rsidRPr="00CE2187" w:rsidR="00903BC9">
        <w:rPr>
          <w:rFonts w:cstheme="minorHAnsi"/>
        </w:rPr>
        <w:t xml:space="preserve"> in the preceding 5 years</w:t>
      </w:r>
      <w:r w:rsidRPr="00CE2187" w:rsidR="006677BC">
        <w:rPr>
          <w:rFonts w:cstheme="minorHAnsi"/>
        </w:rPr>
        <w:t>, with a 1/3</w:t>
      </w:r>
      <w:r w:rsidRPr="00CE2187" w:rsidR="006677BC">
        <w:rPr>
          <w:rFonts w:cstheme="minorHAnsi"/>
          <w:vertAlign w:val="superscript"/>
        </w:rPr>
        <w:t>rd</w:t>
      </w:r>
      <w:r w:rsidRPr="00CE2187" w:rsidR="006677BC">
        <w:rPr>
          <w:rFonts w:cstheme="minorHAnsi"/>
        </w:rPr>
        <w:t xml:space="preserve"> of cases involving conflict between parents and professionals.</w:t>
      </w:r>
      <w:r w:rsidRPr="00CE2187" w:rsidR="00C915D9">
        <w:rPr>
          <w:rStyle w:val="FootnoteReference"/>
          <w:rFonts w:cstheme="minorHAnsi"/>
        </w:rPr>
        <w:footnoteReference w:id="18"/>
      </w:r>
      <w:r w:rsidRPr="00CE2187" w:rsidR="00AC6943">
        <w:rPr>
          <w:rFonts w:cstheme="minorHAnsi"/>
        </w:rPr>
        <w:t xml:space="preserve"> </w:t>
      </w:r>
    </w:p>
    <w:p w:rsidRPr="00B76985" w:rsidR="00986486" w:rsidP="00B76985" w:rsidRDefault="00986486" w14:paraId="6F7F4B8C" w14:textId="77777777">
      <w:pPr>
        <w:rPr>
          <w:sz w:val="24"/>
          <w:szCs w:val="24"/>
        </w:rPr>
      </w:pPr>
    </w:p>
    <w:p w:rsidRPr="00DE27A2" w:rsidR="0069076F" w:rsidP="00B11562" w:rsidRDefault="00616791" w14:paraId="3C7EE438" w14:textId="52DD2028">
      <w:pPr>
        <w:pStyle w:val="ListParagraph"/>
        <w:numPr>
          <w:ilvl w:val="0"/>
          <w:numId w:val="2"/>
        </w:numPr>
        <w:jc w:val="both"/>
      </w:pPr>
      <w:r w:rsidRPr="00DE27A2">
        <w:t>A</w:t>
      </w:r>
      <w:r w:rsidRPr="00DE27A2" w:rsidR="00106AD8">
        <w:t xml:space="preserve"> notable </w:t>
      </w:r>
      <w:r w:rsidRPr="00DE27A2" w:rsidR="00644ACA">
        <w:t>distinction</w:t>
      </w:r>
      <w:r w:rsidRPr="00DE27A2" w:rsidR="00106AD8">
        <w:t xml:space="preserve"> in recent years is </w:t>
      </w:r>
      <w:r w:rsidRPr="00DE27A2" w:rsidR="00644ACA">
        <w:t>the</w:t>
      </w:r>
      <w:r w:rsidRPr="00DE27A2" w:rsidR="0051344A">
        <w:t xml:space="preserve"> growing number of cases coming before the courts, often involving entrenched positions and </w:t>
      </w:r>
      <w:r w:rsidRPr="00DE27A2" w:rsidR="007F55F0">
        <w:t>many months of legal dispute, with the attendant public interest such cases garner. Indeed</w:t>
      </w:r>
      <w:r w:rsidRPr="00DE27A2" w:rsidR="00623D0C">
        <w:t>,</w:t>
      </w:r>
      <w:r w:rsidRPr="00DE27A2" w:rsidR="007F55F0">
        <w:t xml:space="preserve"> i</w:t>
      </w:r>
      <w:r w:rsidRPr="00DE27A2" w:rsidR="0069076F">
        <w:t xml:space="preserve">n the intervening years since </w:t>
      </w:r>
      <w:r w:rsidRPr="00DE27A2" w:rsidR="0069076F">
        <w:rPr>
          <w:i/>
          <w:iCs/>
        </w:rPr>
        <w:t>Charlie Gard</w:t>
      </w:r>
      <w:r w:rsidRPr="00DE27A2" w:rsidR="0069076F">
        <w:t xml:space="preserve">, </w:t>
      </w:r>
      <w:r w:rsidRPr="00DE27A2" w:rsidR="00113661">
        <w:t xml:space="preserve">there have been several </w:t>
      </w:r>
      <w:r w:rsidRPr="00DE27A2" w:rsidR="005674CD">
        <w:t xml:space="preserve">further </w:t>
      </w:r>
      <w:r w:rsidRPr="00DE27A2" w:rsidR="007D2DAF">
        <w:t xml:space="preserve">high-profile court cases, the most </w:t>
      </w:r>
      <w:r w:rsidRPr="00DE27A2" w:rsidR="009C21BC">
        <w:t>significant</w:t>
      </w:r>
      <w:r w:rsidRPr="00DE27A2" w:rsidR="007D2DAF">
        <w:t xml:space="preserve"> being</w:t>
      </w:r>
      <w:r w:rsidRPr="00DE27A2" w:rsidR="00DF0146">
        <w:t xml:space="preserve"> the cases of </w:t>
      </w:r>
      <w:r w:rsidRPr="00DE27A2" w:rsidR="00DF0146">
        <w:rPr>
          <w:i/>
          <w:iCs/>
        </w:rPr>
        <w:t>Tafida Raqeeb</w:t>
      </w:r>
      <w:r w:rsidRPr="00DE27A2" w:rsidR="00DF0146">
        <w:t>,</w:t>
      </w:r>
      <w:r w:rsidRPr="00DE27A2" w:rsidR="005674CD">
        <w:rPr>
          <w:rStyle w:val="FootnoteReference"/>
        </w:rPr>
        <w:footnoteReference w:id="19"/>
      </w:r>
      <w:r w:rsidRPr="00DE27A2" w:rsidR="00DF0146">
        <w:t xml:space="preserve"> </w:t>
      </w:r>
      <w:r w:rsidRPr="00DE27A2" w:rsidR="007836D7">
        <w:rPr>
          <w:i/>
          <w:iCs/>
        </w:rPr>
        <w:t>Pippa Knight</w:t>
      </w:r>
      <w:r w:rsidRPr="00DE27A2" w:rsidR="007836D7">
        <w:t>,</w:t>
      </w:r>
      <w:r w:rsidRPr="00DE27A2" w:rsidR="00974FCA">
        <w:rPr>
          <w:rStyle w:val="FootnoteReference"/>
        </w:rPr>
        <w:footnoteReference w:id="20"/>
      </w:r>
      <w:r w:rsidRPr="00DE27A2" w:rsidR="007836D7">
        <w:t xml:space="preserve"> </w:t>
      </w:r>
      <w:r w:rsidRPr="00DE27A2" w:rsidR="007836D7">
        <w:rPr>
          <w:i/>
          <w:iCs/>
        </w:rPr>
        <w:t>Alta</w:t>
      </w:r>
      <w:r w:rsidRPr="00DE27A2" w:rsidR="007836D7">
        <w:t xml:space="preserve"> </w:t>
      </w:r>
      <w:r w:rsidRPr="00DE27A2" w:rsidR="007836D7">
        <w:rPr>
          <w:i/>
          <w:iCs/>
        </w:rPr>
        <w:t>Fix</w:t>
      </w:r>
      <w:r w:rsidRPr="00DE27A2" w:rsidR="00974FCA">
        <w:rPr>
          <w:i/>
          <w:iCs/>
        </w:rPr>
        <w:t>sler</w:t>
      </w:r>
      <w:r w:rsidRPr="00DE27A2" w:rsidR="00974FCA">
        <w:t>,</w:t>
      </w:r>
      <w:r w:rsidRPr="00DE27A2" w:rsidR="00974FCA">
        <w:rPr>
          <w:rStyle w:val="FootnoteReference"/>
        </w:rPr>
        <w:footnoteReference w:id="21"/>
      </w:r>
      <w:r w:rsidRPr="00DE27A2" w:rsidR="00974FCA">
        <w:t xml:space="preserve"> </w:t>
      </w:r>
      <w:r w:rsidRPr="00DE27A2" w:rsidR="00974FCA">
        <w:rPr>
          <w:i/>
          <w:iCs/>
        </w:rPr>
        <w:t>William Verden</w:t>
      </w:r>
      <w:r w:rsidRPr="00DE27A2" w:rsidR="00974FCA">
        <w:t xml:space="preserve"> </w:t>
      </w:r>
      <w:r w:rsidRPr="00DE27A2" w:rsidR="00974FCA">
        <w:rPr>
          <w:rStyle w:val="FootnoteReference"/>
        </w:rPr>
        <w:footnoteReference w:id="22"/>
      </w:r>
      <w:r w:rsidRPr="00DE27A2" w:rsidR="00974FCA">
        <w:t xml:space="preserve"> and </w:t>
      </w:r>
      <w:r w:rsidRPr="00DE27A2" w:rsidR="00974FCA">
        <w:rPr>
          <w:i/>
          <w:iCs/>
        </w:rPr>
        <w:t>Archie Battersbee</w:t>
      </w:r>
      <w:r w:rsidRPr="00DE27A2" w:rsidR="00974FCA">
        <w:t>.</w:t>
      </w:r>
      <w:r w:rsidRPr="00DE27A2" w:rsidR="00974FCA">
        <w:rPr>
          <w:rStyle w:val="FootnoteReference"/>
        </w:rPr>
        <w:footnoteReference w:id="23"/>
      </w:r>
      <w:r w:rsidRPr="00DE27A2" w:rsidR="00011190">
        <w:t xml:space="preserve"> Much as in the 2018 literature reviews,</w:t>
      </w:r>
      <w:r w:rsidRPr="00DE27A2" w:rsidR="009101DF">
        <w:rPr>
          <w:rStyle w:val="FootnoteReference"/>
        </w:rPr>
        <w:footnoteReference w:id="24"/>
      </w:r>
      <w:r w:rsidRPr="00DE27A2" w:rsidR="00011190">
        <w:t xml:space="preserve"> these cases will act as anchor</w:t>
      </w:r>
      <w:r w:rsidRPr="00DE27A2" w:rsidR="00E33EAF">
        <w:t xml:space="preserve"> points in</w:t>
      </w:r>
      <w:r w:rsidRPr="00DE27A2" w:rsidR="00623D0C">
        <w:t xml:space="preserve"> this review in</w:t>
      </w:r>
      <w:r w:rsidRPr="00DE27A2" w:rsidR="00E33EAF">
        <w:t xml:space="preserve"> accessing and evaluating the related academic literature.</w:t>
      </w:r>
    </w:p>
    <w:p w:rsidRPr="00DE27A2" w:rsidR="002E5920" w:rsidP="002E5920" w:rsidRDefault="002E5920" w14:paraId="46BBB9AA" w14:textId="77777777">
      <w:pPr>
        <w:pStyle w:val="ListParagraph"/>
        <w:jc w:val="both"/>
      </w:pPr>
    </w:p>
    <w:p w:rsidRPr="00DE27A2" w:rsidR="00E33EAF" w:rsidP="002E5920" w:rsidRDefault="00C96EF5" w14:paraId="40CE0167" w14:textId="36832205">
      <w:pPr>
        <w:pStyle w:val="ListParagraph"/>
        <w:numPr>
          <w:ilvl w:val="0"/>
          <w:numId w:val="2"/>
        </w:numPr>
        <w:jc w:val="both"/>
      </w:pPr>
      <w:r w:rsidRPr="00DE27A2">
        <w:t xml:space="preserve">One of the most </w:t>
      </w:r>
      <w:r w:rsidRPr="00DE27A2" w:rsidR="007D2DAF">
        <w:t>enduring</w:t>
      </w:r>
      <w:r w:rsidRPr="00DE27A2" w:rsidR="003B76D4">
        <w:t xml:space="preserve"> academic and </w:t>
      </w:r>
      <w:r w:rsidRPr="00DE27A2" w:rsidR="00553E94">
        <w:t>societal</w:t>
      </w:r>
      <w:r w:rsidRPr="00DE27A2" w:rsidR="00741CAB">
        <w:t xml:space="preserve"> debates</w:t>
      </w:r>
      <w:r w:rsidRPr="00DE27A2" w:rsidR="00260473">
        <w:t xml:space="preserve"> to emerge</w:t>
      </w:r>
      <w:r w:rsidRPr="00DE27A2" w:rsidR="00E4370C">
        <w:t xml:space="preserve"> </w:t>
      </w:r>
      <w:r w:rsidRPr="00DE27A2" w:rsidR="00E33EAF">
        <w:t>over the last 5 years</w:t>
      </w:r>
      <w:r w:rsidRPr="00DE27A2" w:rsidR="009035A3">
        <w:t xml:space="preserve"> has been over </w:t>
      </w:r>
      <w:r w:rsidRPr="00DE27A2" w:rsidR="00325B81">
        <w:t>“</w:t>
      </w:r>
      <w:r w:rsidRPr="00DE27A2" w:rsidR="00260473">
        <w:t>Charlie’s Law</w:t>
      </w:r>
      <w:r w:rsidRPr="00DE27A2" w:rsidR="00325B81">
        <w:t>”</w:t>
      </w:r>
      <w:r w:rsidRPr="00DE27A2" w:rsidR="007E2285">
        <w:t xml:space="preserve"> a</w:t>
      </w:r>
      <w:r w:rsidRPr="00DE27A2" w:rsidR="007F2FB4">
        <w:t>nd “Alfie’s Law”.</w:t>
      </w:r>
      <w:r w:rsidRPr="00DE27A2" w:rsidR="00FC074C">
        <w:rPr>
          <w:rStyle w:val="FootnoteReference"/>
        </w:rPr>
        <w:footnoteReference w:id="25"/>
      </w:r>
      <w:r w:rsidRPr="00DE27A2" w:rsidR="004C5D5C">
        <w:t xml:space="preserve"> </w:t>
      </w:r>
      <w:r w:rsidRPr="00DE27A2" w:rsidR="007F2FB4">
        <w:t>First a</w:t>
      </w:r>
      <w:r w:rsidRPr="00DE27A2" w:rsidR="001A3D00">
        <w:t>dvanced by the</w:t>
      </w:r>
      <w:r w:rsidRPr="00DE27A2" w:rsidR="00960C10">
        <w:t xml:space="preserve"> Charlie Gard Foundation</w:t>
      </w:r>
      <w:r w:rsidRPr="00DE27A2" w:rsidR="00D07E07">
        <w:t xml:space="preserve">, </w:t>
      </w:r>
      <w:r w:rsidRPr="00DE27A2" w:rsidR="005F4FC7">
        <w:t>th</w:t>
      </w:r>
      <w:r w:rsidRPr="00DE27A2" w:rsidR="007F2FB4">
        <w:t>ese</w:t>
      </w:r>
      <w:r w:rsidRPr="00DE27A2" w:rsidR="005F4FC7">
        <w:t xml:space="preserve"> propos</w:t>
      </w:r>
      <w:r w:rsidRPr="00DE27A2" w:rsidR="00C24455">
        <w:t>ed a</w:t>
      </w:r>
      <w:r w:rsidRPr="00DE27A2" w:rsidR="00CE4472">
        <w:t>mendment</w:t>
      </w:r>
      <w:r w:rsidRPr="00DE27A2" w:rsidR="007F2FB4">
        <w:t>s</w:t>
      </w:r>
      <w:r w:rsidRPr="00DE27A2" w:rsidR="00CE4472">
        <w:t xml:space="preserve"> to the law</w:t>
      </w:r>
      <w:r w:rsidRPr="00DE27A2" w:rsidR="000E34E7">
        <w:t xml:space="preserve"> aimed to strengthen parental rights in the care of critically ill children</w:t>
      </w:r>
      <w:r w:rsidRPr="00DE27A2" w:rsidR="004105FB">
        <w:t xml:space="preserve">, </w:t>
      </w:r>
      <w:r w:rsidRPr="00DE27A2" w:rsidR="007F2FB4">
        <w:t>includ</w:t>
      </w:r>
      <w:r w:rsidRPr="00DE27A2" w:rsidR="004105FB">
        <w:t>ing</w:t>
      </w:r>
      <w:r w:rsidRPr="00DE27A2" w:rsidR="00CE4472">
        <w:t xml:space="preserve"> </w:t>
      </w:r>
      <w:r w:rsidRPr="00DE27A2" w:rsidR="007F2FB4">
        <w:t xml:space="preserve">better provision of </w:t>
      </w:r>
      <w:r w:rsidRPr="00DE27A2" w:rsidR="00CE4472">
        <w:t xml:space="preserve">access to Clinical </w:t>
      </w:r>
      <w:r w:rsidRPr="00DE27A2" w:rsidR="00EE5C0F">
        <w:t>Ethics Committees (CECs)</w:t>
      </w:r>
      <w:r w:rsidR="00917CA8">
        <w:t>,</w:t>
      </w:r>
      <w:r w:rsidRPr="00DE27A2" w:rsidR="009E6060">
        <w:t xml:space="preserve"> expert second opinion</w:t>
      </w:r>
      <w:r w:rsidR="009345C3">
        <w:t>,</w:t>
      </w:r>
      <w:r w:rsidRPr="00DE27A2" w:rsidR="00EE5C0F">
        <w:t xml:space="preserve"> mediation and medical records</w:t>
      </w:r>
      <w:r w:rsidRPr="00DE27A2" w:rsidR="00583152">
        <w:t>;</w:t>
      </w:r>
      <w:r w:rsidRPr="00DE27A2" w:rsidR="00A67B0C">
        <w:t xml:space="preserve"> </w:t>
      </w:r>
      <w:r w:rsidRPr="00DE27A2" w:rsidR="004105FB">
        <w:t>l</w:t>
      </w:r>
      <w:r w:rsidRPr="00DE27A2" w:rsidR="00273CE9">
        <w:t xml:space="preserve">egal and ethical </w:t>
      </w:r>
      <w:r w:rsidRPr="00DE27A2" w:rsidR="00EE5C0F">
        <w:t>advice</w:t>
      </w:r>
      <w:r w:rsidRPr="00DE27A2" w:rsidR="00273CE9">
        <w:t xml:space="preserve"> and access to legal aid for parents; and </w:t>
      </w:r>
      <w:r w:rsidRPr="00DE27A2" w:rsidR="006E374B">
        <w:t>a change to the law to</w:t>
      </w:r>
      <w:r w:rsidRPr="00DE27A2" w:rsidR="00B21B9C">
        <w:t xml:space="preserve"> </w:t>
      </w:r>
      <w:r w:rsidRPr="00DE27A2" w:rsidR="00DD6D19">
        <w:t>“</w:t>
      </w:r>
      <w:r w:rsidRPr="00DE27A2" w:rsidR="005D183C">
        <w:t>rais</w:t>
      </w:r>
      <w:r w:rsidRPr="00DE27A2" w:rsidR="00B21B9C">
        <w:t>e</w:t>
      </w:r>
      <w:r w:rsidRPr="00DE27A2" w:rsidR="00DD6D19">
        <w:t>”</w:t>
      </w:r>
      <w:r w:rsidRPr="00DE27A2" w:rsidR="005D183C">
        <w:t xml:space="preserve"> the </w:t>
      </w:r>
      <w:r w:rsidRPr="00DE27A2" w:rsidR="00260473">
        <w:t>threshold for state intervention</w:t>
      </w:r>
      <w:r w:rsidRPr="00DE27A2" w:rsidR="00B21B9C">
        <w:t xml:space="preserve"> </w:t>
      </w:r>
      <w:r w:rsidRPr="00DE27A2" w:rsidR="006E374B">
        <w:t>in parental decisions to those</w:t>
      </w:r>
      <w:r w:rsidRPr="00DE27A2" w:rsidR="000C55DC">
        <w:t xml:space="preserve"> </w:t>
      </w:r>
      <w:r w:rsidRPr="00DE27A2" w:rsidR="00421BA8">
        <w:t>which caused</w:t>
      </w:r>
      <w:r w:rsidRPr="00DE27A2" w:rsidR="006E374B">
        <w:t>,</w:t>
      </w:r>
      <w:r w:rsidRPr="00DE27A2" w:rsidR="00421BA8">
        <w:t xml:space="preserve"> or </w:t>
      </w:r>
      <w:r w:rsidRPr="00DE27A2" w:rsidR="00253C9B">
        <w:t>risked</w:t>
      </w:r>
      <w:r w:rsidRPr="00DE27A2" w:rsidR="006E374B">
        <w:t>,</w:t>
      </w:r>
      <w:r w:rsidRPr="00DE27A2" w:rsidR="00253C9B">
        <w:t xml:space="preserve"> s</w:t>
      </w:r>
      <w:r w:rsidRPr="00DE27A2" w:rsidR="00421BA8">
        <w:t xml:space="preserve">ignificant </w:t>
      </w:r>
      <w:r w:rsidRPr="00DE27A2" w:rsidR="00253C9B">
        <w:t>h</w:t>
      </w:r>
      <w:r w:rsidRPr="00DE27A2" w:rsidR="00421BA8">
        <w:t xml:space="preserve">arm to the child. </w:t>
      </w:r>
      <w:r w:rsidRPr="00DE27A2" w:rsidR="00BD27E0">
        <w:rPr>
          <w:rStyle w:val="FootnoteReference"/>
        </w:rPr>
        <w:footnoteReference w:id="26"/>
      </w:r>
    </w:p>
    <w:p w:rsidRPr="00DE27A2" w:rsidR="00E33EAF" w:rsidP="00E33EAF" w:rsidRDefault="00E33EAF" w14:paraId="3A18B611" w14:textId="77777777">
      <w:pPr>
        <w:pStyle w:val="ListParagraph"/>
      </w:pPr>
    </w:p>
    <w:p w:rsidRPr="00DE27A2" w:rsidR="00C96EF5" w:rsidP="002E5920" w:rsidRDefault="0078378E" w14:paraId="5A2FC434" w14:textId="7475C8D5">
      <w:pPr>
        <w:pStyle w:val="ListParagraph"/>
        <w:numPr>
          <w:ilvl w:val="0"/>
          <w:numId w:val="2"/>
        </w:numPr>
        <w:jc w:val="both"/>
      </w:pPr>
      <w:r w:rsidRPr="00DE27A2">
        <w:t>There has</w:t>
      </w:r>
      <w:r w:rsidRPr="00DE27A2" w:rsidR="00800749">
        <w:t xml:space="preserve"> been some</w:t>
      </w:r>
      <w:r w:rsidRPr="00DE27A2">
        <w:t xml:space="preserve"> support in Parliament</w:t>
      </w:r>
      <w:r w:rsidRPr="00DE27A2" w:rsidR="00F860BD">
        <w:t xml:space="preserve"> for these proposals, </w:t>
      </w:r>
      <w:r w:rsidRPr="00DE27A2" w:rsidR="00773F09">
        <w:t>and as Birchley notes, “Charlie’s Law” ‘retains significant momentum’.</w:t>
      </w:r>
      <w:r w:rsidRPr="00DE27A2" w:rsidR="00773F09">
        <w:rPr>
          <w:rStyle w:val="FootnoteReference"/>
        </w:rPr>
        <w:footnoteReference w:id="27"/>
      </w:r>
      <w:r w:rsidRPr="00DE27A2" w:rsidR="00773F09">
        <w:t xml:space="preserve"> T</w:t>
      </w:r>
      <w:r w:rsidRPr="00DE27A2" w:rsidR="00F860BD">
        <w:t xml:space="preserve">he most recent iteration </w:t>
      </w:r>
      <w:r w:rsidRPr="00DE27A2" w:rsidR="003A1FE4">
        <w:t>was in</w:t>
      </w:r>
      <w:r w:rsidRPr="00DE27A2" w:rsidR="001154EC">
        <w:t xml:space="preserve"> the form of</w:t>
      </w:r>
      <w:r w:rsidRPr="00DE27A2" w:rsidR="00D07E07">
        <w:t xml:space="preserve"> proposed </w:t>
      </w:r>
      <w:r w:rsidRPr="00DE27A2" w:rsidR="00AB29C3">
        <w:t>amendments</w:t>
      </w:r>
      <w:r w:rsidRPr="00DE27A2" w:rsidR="00D07E07">
        <w:t xml:space="preserve"> </w:t>
      </w:r>
      <w:r w:rsidRPr="00DE27A2" w:rsidR="00AB29C3">
        <w:t>to</w:t>
      </w:r>
      <w:r w:rsidRPr="00DE27A2" w:rsidR="00D07E07">
        <w:t xml:space="preserve"> the </w:t>
      </w:r>
      <w:r w:rsidRPr="00DE27A2" w:rsidR="004C5D5C">
        <w:t>Health and Social Care Bill</w:t>
      </w:r>
      <w:r w:rsidRPr="00DE27A2" w:rsidR="003F24C3">
        <w:t xml:space="preserve"> 2021,</w:t>
      </w:r>
      <w:r w:rsidRPr="00DE27A2" w:rsidR="004C5D5C">
        <w:t xml:space="preserve"> sponsored by Baroness Finlay of </w:t>
      </w:r>
      <w:r w:rsidRPr="00DE27A2" w:rsidR="00F73380">
        <w:t>Llandaff</w:t>
      </w:r>
      <w:r w:rsidRPr="00DE27A2" w:rsidR="00284C80">
        <w:t>.</w:t>
      </w:r>
      <w:r w:rsidRPr="00DE27A2" w:rsidR="00B17A10">
        <w:rPr>
          <w:rStyle w:val="FootnoteReference"/>
        </w:rPr>
        <w:footnoteReference w:id="28"/>
      </w:r>
      <w:r w:rsidRPr="00DE27A2" w:rsidR="008F71BE">
        <w:t xml:space="preserve"> </w:t>
      </w:r>
      <w:r w:rsidRPr="00DE27A2" w:rsidR="00402CEC">
        <w:t>T</w:t>
      </w:r>
      <w:r w:rsidRPr="00DE27A2" w:rsidR="00573F70">
        <w:t xml:space="preserve">he Government ultimately rejected Baroness Finlay’s amendments, </w:t>
      </w:r>
      <w:r w:rsidRPr="00DE27A2" w:rsidR="00B82138">
        <w:t>in favour of a further review of the evidence and a report to be de</w:t>
      </w:r>
      <w:r w:rsidRPr="00DE27A2" w:rsidR="002A4C0B">
        <w:t>livered to Parliament, as enacted in s177 of the Health and Social Care Act</w:t>
      </w:r>
      <w:r w:rsidRPr="00DE27A2" w:rsidR="00513185">
        <w:t xml:space="preserve"> 2022</w:t>
      </w:r>
      <w:r w:rsidRPr="00DE27A2" w:rsidR="002A4C0B">
        <w:t xml:space="preserve">. </w:t>
      </w:r>
    </w:p>
    <w:p w:rsidRPr="009F38B3" w:rsidR="00E33EAF" w:rsidP="00E33EAF" w:rsidRDefault="00E33EAF" w14:paraId="6750EF2D" w14:textId="77777777">
      <w:pPr>
        <w:pStyle w:val="ListParagraph"/>
        <w:rPr>
          <w:sz w:val="24"/>
          <w:szCs w:val="24"/>
        </w:rPr>
      </w:pPr>
    </w:p>
    <w:p w:rsidRPr="00DE27A2" w:rsidR="009604CF" w:rsidP="009604CF" w:rsidRDefault="007A5F9F" w14:paraId="780813DD" w14:textId="44536902">
      <w:pPr>
        <w:pStyle w:val="ListParagraph"/>
        <w:numPr>
          <w:ilvl w:val="0"/>
          <w:numId w:val="2"/>
        </w:numPr>
        <w:jc w:val="both"/>
      </w:pPr>
      <w:r w:rsidRPr="0059787A">
        <w:t xml:space="preserve">In response to </w:t>
      </w:r>
      <w:r w:rsidRPr="0059787A" w:rsidR="00473FAE">
        <w:t>this statutory provision</w:t>
      </w:r>
      <w:r>
        <w:t>, t</w:t>
      </w:r>
      <w:r w:rsidRPr="00DE27A2" w:rsidR="00D25691">
        <w:t>his current literature review</w:t>
      </w:r>
      <w:r w:rsidR="00DC18BF">
        <w:t xml:space="preserve"> </w:t>
      </w:r>
      <w:r w:rsidRPr="00DE27A2" w:rsidR="00D25691">
        <w:t>has been commissioned by the Nuffield Council on Bioethics</w:t>
      </w:r>
      <w:r w:rsidRPr="00DE27A2" w:rsidR="000A7783">
        <w:t xml:space="preserve">, as part of a larger </w:t>
      </w:r>
      <w:r w:rsidRPr="00DE27A2" w:rsidR="00471184">
        <w:t>independent review</w:t>
      </w:r>
      <w:r w:rsidRPr="00DE27A2" w:rsidR="000A7783">
        <w:t xml:space="preserve"> on </w:t>
      </w:r>
      <w:r w:rsidRPr="00DE27A2" w:rsidR="00471184">
        <w:t>d</w:t>
      </w:r>
      <w:r w:rsidRPr="00DE27A2" w:rsidR="00833095">
        <w:t xml:space="preserve">isagreements in the care of critically </w:t>
      </w:r>
      <w:r w:rsidRPr="00DE27A2" w:rsidR="00FB3F75">
        <w:t>i</w:t>
      </w:r>
      <w:r w:rsidRPr="00DE27A2" w:rsidR="00833095">
        <w:t>ll children</w:t>
      </w:r>
      <w:r w:rsidRPr="00DE27A2" w:rsidR="00B8303B">
        <w:t xml:space="preserve"> </w:t>
      </w:r>
      <w:r w:rsidRPr="00DE27A2" w:rsidR="00833095">
        <w:t xml:space="preserve">commissioned by the Department of Health and Social </w:t>
      </w:r>
      <w:r w:rsidRPr="00DE27A2" w:rsidR="00E1674D">
        <w:t>C</w:t>
      </w:r>
      <w:r w:rsidRPr="00DE27A2" w:rsidR="00833095">
        <w:t xml:space="preserve">are. </w:t>
      </w:r>
      <w:r w:rsidRPr="00DE27A2" w:rsidR="00E36D36">
        <w:t>It build</w:t>
      </w:r>
      <w:r w:rsidRPr="00DE27A2" w:rsidR="008E408D">
        <w:t>s upon</w:t>
      </w:r>
      <w:r w:rsidRPr="00DE27A2" w:rsidR="00E36D36">
        <w:t xml:space="preserve"> </w:t>
      </w:r>
      <w:r w:rsidRPr="00DE27A2" w:rsidR="008E408D">
        <w:t xml:space="preserve">the </w:t>
      </w:r>
      <w:r w:rsidRPr="00DE27A2" w:rsidR="00E36D36">
        <w:t xml:space="preserve">Council’s </w:t>
      </w:r>
      <w:r w:rsidRPr="00DE27A2" w:rsidR="008C178E">
        <w:t>earlier literature reviews and briefing note</w:t>
      </w:r>
      <w:r w:rsidRPr="00DE27A2" w:rsidR="00FC5ADB">
        <w:t>,</w:t>
      </w:r>
      <w:r w:rsidRPr="00DE27A2" w:rsidR="008E408D">
        <w:t xml:space="preserve"> and uses </w:t>
      </w:r>
      <w:r w:rsidRPr="00DE27A2" w:rsidR="00834DDA">
        <w:t xml:space="preserve">Barclay’s </w:t>
      </w:r>
      <w:r w:rsidRPr="00DE27A2" w:rsidR="001141EC">
        <w:t>definition of disagreement</w:t>
      </w:r>
      <w:r w:rsidRPr="00DE27A2" w:rsidR="00834DDA">
        <w:t xml:space="preserve"> as</w:t>
      </w:r>
      <w:r w:rsidRPr="00DE27A2" w:rsidR="00993DCC">
        <w:t xml:space="preserve"> </w:t>
      </w:r>
      <w:r w:rsidRPr="00DE27A2" w:rsidR="00834DDA">
        <w:t>‘</w:t>
      </w:r>
      <w:r w:rsidRPr="00DE27A2" w:rsidR="00834DDA">
        <w:rPr>
          <w:rStyle w:val="Emphasis"/>
          <w:i w:val="0"/>
          <w:iCs w:val="0"/>
          <w:color w:val="000000"/>
        </w:rPr>
        <w:t>[a]</w:t>
      </w:r>
      <w:r w:rsidRPr="00DE27A2" w:rsidR="00993DCC">
        <w:rPr>
          <w:rStyle w:val="Emphasis"/>
          <w:i w:val="0"/>
          <w:iCs w:val="0"/>
          <w:color w:val="000000"/>
        </w:rPr>
        <w:t xml:space="preserve"> breakdown in trust and/or communication between health professionals and a patient, parent/carer or family member which has an impact on any or all involved and/or affects the ability of a treating team to provide the care they deem optimal for the patient concerned</w:t>
      </w:r>
      <w:r w:rsidRPr="00DE27A2" w:rsidR="00834DDA">
        <w:rPr>
          <w:rStyle w:val="Emphasis"/>
          <w:i w:val="0"/>
          <w:iCs w:val="0"/>
          <w:color w:val="000000"/>
        </w:rPr>
        <w:t>’</w:t>
      </w:r>
      <w:r w:rsidRPr="00DE27A2" w:rsidR="008E408D">
        <w:rPr>
          <w:rStyle w:val="Emphasis"/>
          <w:i w:val="0"/>
          <w:iCs w:val="0"/>
          <w:color w:val="000000"/>
        </w:rPr>
        <w:t>.</w:t>
      </w:r>
      <w:r w:rsidRPr="00DE27A2" w:rsidR="009F38B3">
        <w:rPr>
          <w:rStyle w:val="FootnoteReference"/>
          <w:color w:val="000000"/>
        </w:rPr>
        <w:footnoteReference w:id="29"/>
      </w:r>
      <w:r w:rsidRPr="00DE27A2" w:rsidR="00FC5ADB">
        <w:rPr>
          <w:rStyle w:val="Emphasis"/>
          <w:i w:val="0"/>
          <w:iCs w:val="0"/>
          <w:color w:val="000000"/>
        </w:rPr>
        <w:t xml:space="preserve"> </w:t>
      </w:r>
      <w:r w:rsidRPr="00DE27A2" w:rsidR="00833095">
        <w:t>Th</w:t>
      </w:r>
      <w:r w:rsidRPr="00DE27A2" w:rsidR="00EF6822">
        <w:t>e remit of this</w:t>
      </w:r>
      <w:r w:rsidRPr="00DE27A2" w:rsidR="00553E94">
        <w:t xml:space="preserve"> literature</w:t>
      </w:r>
      <w:r w:rsidRPr="00DE27A2" w:rsidR="00EF6822">
        <w:t xml:space="preserve"> review is to</w:t>
      </w:r>
      <w:r w:rsidRPr="00DE27A2" w:rsidR="00D25691">
        <w:t xml:space="preserve"> </w:t>
      </w:r>
      <w:r w:rsidRPr="00DE27A2" w:rsidR="00EF6822">
        <w:t>survey and assess the</w:t>
      </w:r>
      <w:r w:rsidRPr="00DE27A2" w:rsidR="00D25691">
        <w:t xml:space="preserve"> evidence base </w:t>
      </w:r>
      <w:r w:rsidRPr="00DE27A2" w:rsidR="00EF6822">
        <w:t>in relation to three questions</w:t>
      </w:r>
      <w:r w:rsidRPr="00DE27A2" w:rsidR="008050B1">
        <w:t>:</w:t>
      </w:r>
    </w:p>
    <w:p w:rsidRPr="00DE27A2" w:rsidR="00FB3F75" w:rsidP="00FB3F75" w:rsidRDefault="00FB3F75" w14:paraId="34EFF8F1" w14:textId="77777777">
      <w:pPr>
        <w:jc w:val="both"/>
      </w:pPr>
    </w:p>
    <w:p w:rsidRPr="00DE27A2" w:rsidR="008050B1" w:rsidP="00467955" w:rsidRDefault="008050B1" w14:paraId="37ABEA20" w14:textId="3435D35A">
      <w:pPr>
        <w:ind w:left="720" w:firstLine="720"/>
        <w:jc w:val="both"/>
      </w:pPr>
      <w:r w:rsidRPr="00DE27A2">
        <w:t>1.</w:t>
      </w:r>
      <w:r w:rsidRPr="00DE27A2" w:rsidR="00153EF8">
        <w:t xml:space="preserve"> </w:t>
      </w:r>
      <w:r w:rsidRPr="00DE27A2" w:rsidR="006724F2">
        <w:t>What are the</w:t>
      </w:r>
      <w:r w:rsidRPr="00DE27A2" w:rsidR="00153EF8">
        <w:t xml:space="preserve"> causes </w:t>
      </w:r>
      <w:r w:rsidRPr="00DE27A2" w:rsidR="00011AB9">
        <w:t>of disagreements in the care of critically ill children</w:t>
      </w:r>
      <w:r w:rsidRPr="007A6827" w:rsidR="00EE72F5">
        <w:rPr>
          <w:color w:val="FF0000"/>
        </w:rPr>
        <w:t xml:space="preserve"> </w:t>
      </w:r>
      <w:r w:rsidRPr="00FE5682" w:rsidR="00EE72F5">
        <w:t>in England</w:t>
      </w:r>
      <w:r w:rsidRPr="00DE27A2" w:rsidR="006724F2">
        <w:t>?</w:t>
      </w:r>
    </w:p>
    <w:p w:rsidRPr="00DE27A2" w:rsidR="008050B1" w:rsidP="00467955" w:rsidRDefault="008050B1" w14:paraId="3CF5F4E3" w14:textId="3FB24E93">
      <w:pPr>
        <w:ind w:left="1440"/>
        <w:jc w:val="both"/>
      </w:pPr>
      <w:r w:rsidRPr="00DE27A2">
        <w:t>2.</w:t>
      </w:r>
      <w:r w:rsidRPr="00DE27A2" w:rsidR="00011AB9">
        <w:t xml:space="preserve"> </w:t>
      </w:r>
      <w:r w:rsidRPr="00DE27A2" w:rsidR="006724F2">
        <w:t>What is the</w:t>
      </w:r>
      <w:r w:rsidRPr="00DE27A2" w:rsidR="00011AB9">
        <w:t xml:space="preserve"> impact that these disagreements can have on the child, their family, the h</w:t>
      </w:r>
      <w:r w:rsidRPr="00DE27A2" w:rsidR="00AB4F4A">
        <w:t>ealthcare professionals, the NHS and wider society</w:t>
      </w:r>
      <w:r w:rsidRPr="00DE27A2" w:rsidR="006724F2">
        <w:t>?</w:t>
      </w:r>
    </w:p>
    <w:p w:rsidRPr="00DE27A2" w:rsidR="008050B1" w:rsidP="00467955" w:rsidRDefault="008050B1" w14:paraId="061D7DA2" w14:textId="29B32470">
      <w:pPr>
        <w:ind w:left="1440"/>
        <w:jc w:val="both"/>
      </w:pPr>
      <w:r w:rsidRPr="00DE27A2">
        <w:t>3.</w:t>
      </w:r>
      <w:r w:rsidRPr="00DE27A2" w:rsidR="00AB4F4A">
        <w:t xml:space="preserve"> </w:t>
      </w:r>
      <w:r w:rsidRPr="00DE27A2" w:rsidR="006724F2">
        <w:t xml:space="preserve">What are the possible </w:t>
      </w:r>
      <w:r w:rsidRPr="00DE27A2" w:rsidR="00FB3F75">
        <w:t>mechanisms for avoiding, recognising, managing and resolving disagreement?</w:t>
      </w:r>
    </w:p>
    <w:p w:rsidRPr="00DE27A2" w:rsidR="009604CF" w:rsidP="00E33EAF" w:rsidRDefault="009604CF" w14:paraId="334DF456" w14:textId="77777777">
      <w:pPr>
        <w:ind w:firstLine="720"/>
        <w:jc w:val="both"/>
      </w:pPr>
    </w:p>
    <w:p w:rsidRPr="00DE27A2" w:rsidR="009604CF" w:rsidP="009604CF" w:rsidRDefault="009604CF" w14:paraId="05BFAB0E" w14:textId="0ABE4B7F">
      <w:pPr>
        <w:pStyle w:val="ListParagraph"/>
        <w:numPr>
          <w:ilvl w:val="0"/>
          <w:numId w:val="2"/>
        </w:numPr>
        <w:jc w:val="both"/>
      </w:pPr>
      <w:r w:rsidRPr="00DE27A2">
        <w:t xml:space="preserve">The findings of this review will be used in conjunction with evidence gathered from the concurrent consultation </w:t>
      </w:r>
      <w:r w:rsidRPr="00DE27A2" w:rsidR="009416DB">
        <w:t>and other research activities</w:t>
      </w:r>
      <w:r w:rsidRPr="00DE27A2">
        <w:t>, to produce a final report to go before Parliament in October 2023.</w:t>
      </w:r>
      <w:r w:rsidRPr="00DE27A2" w:rsidR="00DF674E">
        <w:t xml:space="preserve"> The aim </w:t>
      </w:r>
      <w:r w:rsidRPr="00DE27A2" w:rsidR="00B71387">
        <w:t xml:space="preserve">of the </w:t>
      </w:r>
      <w:r w:rsidRPr="00DE27A2" w:rsidR="00CB2577">
        <w:t>independent review</w:t>
      </w:r>
      <w:r w:rsidRPr="00DE27A2" w:rsidR="00B71387">
        <w:t xml:space="preserve"> will be </w:t>
      </w:r>
      <w:r w:rsidRPr="00DE27A2" w:rsidR="00963F0E">
        <w:rPr>
          <w:color w:val="000000"/>
        </w:rPr>
        <w:t>to</w:t>
      </w:r>
      <w:r w:rsidRPr="00DE27A2" w:rsidR="00A7647B">
        <w:rPr>
          <w:color w:val="000000"/>
        </w:rPr>
        <w:t xml:space="preserve"> ‘</w:t>
      </w:r>
      <w:r w:rsidRPr="00DE27A2" w:rsidR="00CB2577">
        <w:rPr>
          <w:color w:val="000000"/>
        </w:rPr>
        <w:t>inform national and regional learning and improvement and support the creation of good, collaborative relationships between parents and healthcare staff</w:t>
      </w:r>
      <w:r w:rsidRPr="00DE27A2" w:rsidR="00963F0E">
        <w:rPr>
          <w:color w:val="000000"/>
        </w:rPr>
        <w:t>’.</w:t>
      </w:r>
      <w:r w:rsidRPr="00DE27A2" w:rsidR="00A7647B">
        <w:rPr>
          <w:rStyle w:val="FootnoteReference"/>
          <w:color w:val="000000"/>
        </w:rPr>
        <w:footnoteReference w:id="30"/>
      </w:r>
    </w:p>
    <w:p w:rsidR="00A178E8" w:rsidP="00215352" w:rsidRDefault="00A178E8" w14:paraId="3DE3D916" w14:textId="77777777">
      <w:pPr>
        <w:jc w:val="both"/>
        <w:rPr>
          <w:sz w:val="24"/>
          <w:szCs w:val="24"/>
        </w:rPr>
      </w:pPr>
    </w:p>
    <w:p w:rsidR="00215352" w:rsidP="00215352" w:rsidRDefault="00B70C41" w14:paraId="12441338" w14:textId="62748144">
      <w:pPr>
        <w:jc w:val="both"/>
        <w:rPr>
          <w:b/>
          <w:bCs/>
          <w:color w:val="002060"/>
          <w:sz w:val="28"/>
          <w:szCs w:val="28"/>
          <w:u w:val="single"/>
        </w:rPr>
      </w:pPr>
      <w:r w:rsidRPr="090C4359">
        <w:rPr>
          <w:b/>
          <w:bCs/>
          <w:color w:val="002060"/>
          <w:sz w:val="28"/>
          <w:szCs w:val="28"/>
          <w:u w:val="single"/>
        </w:rPr>
        <w:t>2.</w:t>
      </w:r>
      <w:r w:rsidRPr="090C4359" w:rsidR="3517CBE3">
        <w:rPr>
          <w:b/>
          <w:bCs/>
          <w:color w:val="002060"/>
          <w:sz w:val="28"/>
          <w:szCs w:val="28"/>
          <w:u w:val="single"/>
        </w:rPr>
        <w:t xml:space="preserve"> </w:t>
      </w:r>
      <w:r w:rsidRPr="090C4359" w:rsidR="00215352">
        <w:rPr>
          <w:b/>
          <w:bCs/>
          <w:color w:val="002060"/>
          <w:sz w:val="28"/>
          <w:szCs w:val="28"/>
          <w:u w:val="single"/>
        </w:rPr>
        <w:t>Methodology</w:t>
      </w:r>
    </w:p>
    <w:p w:rsidRPr="00951783" w:rsidR="00A5732E" w:rsidP="00A5732E" w:rsidRDefault="00A5732E" w14:paraId="74F596D9" w14:textId="2BE807F9">
      <w:pPr>
        <w:pStyle w:val="ListParagraph"/>
        <w:numPr>
          <w:ilvl w:val="0"/>
          <w:numId w:val="2"/>
        </w:numPr>
        <w:jc w:val="both"/>
      </w:pPr>
      <w:r w:rsidRPr="00951783">
        <w:t>Given the tight timescales for the production and delivery of this literature review, it w</w:t>
      </w:r>
      <w:r w:rsidRPr="00951783" w:rsidR="00706414">
        <w:t>as</w:t>
      </w:r>
      <w:r w:rsidRPr="00951783">
        <w:t xml:space="preserve"> not feasible to undertake a full systematic review of the literature. Nor would this</w:t>
      </w:r>
      <w:r w:rsidRPr="00951783" w:rsidR="00706414">
        <w:t xml:space="preserve"> have</w:t>
      </w:r>
      <w:r w:rsidRPr="00951783">
        <w:t xml:space="preserve"> necessarily fit the research brief given that there </w:t>
      </w:r>
      <w:r w:rsidRPr="00951783" w:rsidR="00706414">
        <w:t>were</w:t>
      </w:r>
      <w:r w:rsidRPr="00951783">
        <w:t xml:space="preserve"> a number of questions to be addressed relating to the causes, impact and resolution of disagreements, and these need</w:t>
      </w:r>
      <w:r w:rsidRPr="00951783" w:rsidR="00723EE0">
        <w:t>ed</w:t>
      </w:r>
      <w:r w:rsidRPr="00951783">
        <w:t xml:space="preserve"> to be examined from a range of disciplines and perspectives.</w:t>
      </w:r>
      <w:r w:rsidRPr="00951783">
        <w:rPr>
          <w:rStyle w:val="FootnoteReference"/>
        </w:rPr>
        <w:footnoteReference w:id="31"/>
      </w:r>
      <w:r w:rsidRPr="00951783">
        <w:t xml:space="preserve"> I</w:t>
      </w:r>
      <w:r w:rsidRPr="00951783" w:rsidR="00723EE0">
        <w:t>nstead</w:t>
      </w:r>
      <w:r w:rsidR="004C3EF8">
        <w:t xml:space="preserve"> </w:t>
      </w:r>
      <w:r w:rsidRPr="00951783">
        <w:t>a semi-systematic, or narrative review</w:t>
      </w:r>
      <w:r w:rsidRPr="00951783" w:rsidR="00452F65">
        <w:t xml:space="preserve"> was undertaken</w:t>
      </w:r>
      <w:r w:rsidRPr="00951783">
        <w:t xml:space="preserve">, which </w:t>
      </w:r>
      <w:r w:rsidRPr="00951783" w:rsidR="00DE4A60">
        <w:t>proved</w:t>
      </w:r>
      <w:r w:rsidRPr="00951783">
        <w:t xml:space="preserve"> especially useful in identifying key themes in</w:t>
      </w:r>
      <w:r w:rsidRPr="00951783" w:rsidR="00F153C4">
        <w:t xml:space="preserve"> the</w:t>
      </w:r>
      <w:r w:rsidRPr="00951783">
        <w:t xml:space="preserve"> literature </w:t>
      </w:r>
      <w:r w:rsidRPr="00951783" w:rsidR="00DE4A60">
        <w:t>that</w:t>
      </w:r>
      <w:r w:rsidRPr="00951783">
        <w:t xml:space="preserve"> have different disciplinary roots and conceptualisations.</w:t>
      </w:r>
      <w:r w:rsidRPr="00951783">
        <w:rPr>
          <w:rStyle w:val="FootnoteReference"/>
        </w:rPr>
        <w:footnoteReference w:id="32"/>
      </w:r>
      <w:r w:rsidRPr="00951783">
        <w:t xml:space="preserve"> The semi-systematic method begins with an identification of all relevant disciplinary areas relating to the research questions, and then takes a qualitative approach to the review process.</w:t>
      </w:r>
      <w:r w:rsidRPr="00951783" w:rsidR="0004298B">
        <w:t xml:space="preserve"> In this review, the </w:t>
      </w:r>
      <w:r w:rsidRPr="00951783" w:rsidR="00893BF0">
        <w:t>relevant discipline</w:t>
      </w:r>
      <w:r w:rsidRPr="00951783" w:rsidR="00C25948">
        <w:t>s</w:t>
      </w:r>
      <w:r w:rsidRPr="00951783" w:rsidR="00893BF0">
        <w:t xml:space="preserve"> that were searched were law,</w:t>
      </w:r>
      <w:r w:rsidRPr="00951783" w:rsidR="00A969D8">
        <w:t xml:space="preserve"> bioethics, </w:t>
      </w:r>
      <w:r w:rsidRPr="00951783" w:rsidR="00893BF0">
        <w:t>medicine, nursing, philosophy, psychology</w:t>
      </w:r>
      <w:r w:rsidRPr="00951783" w:rsidR="00C25948">
        <w:t xml:space="preserve"> and theology</w:t>
      </w:r>
      <w:r w:rsidR="00951783">
        <w:t xml:space="preserve">. </w:t>
      </w:r>
      <w:r w:rsidRPr="00951783">
        <w:t>Results are synthesised by way of meta-narratives,</w:t>
      </w:r>
      <w:r w:rsidRPr="00951783">
        <w:rPr>
          <w:rStyle w:val="FootnoteReference"/>
        </w:rPr>
        <w:footnoteReference w:id="33"/>
      </w:r>
      <w:r w:rsidRPr="00951783">
        <w:t xml:space="preserve"> seeking to uncover common themes, recent trends or developments, and shifts in thinking or practice.</w:t>
      </w:r>
      <w:r w:rsidRPr="00951783">
        <w:rPr>
          <w:rStyle w:val="FootnoteReference"/>
        </w:rPr>
        <w:footnoteReference w:id="34"/>
      </w:r>
    </w:p>
    <w:p w:rsidRPr="00951783" w:rsidR="00332AA7" w:rsidP="00332AA7" w:rsidRDefault="00332AA7" w14:paraId="73838314" w14:textId="77777777">
      <w:pPr>
        <w:pStyle w:val="ListParagraph"/>
        <w:jc w:val="both"/>
      </w:pPr>
    </w:p>
    <w:p w:rsidRPr="00951783" w:rsidR="00215352" w:rsidP="003E04A6" w:rsidRDefault="00A5732E" w14:paraId="5C76F067" w14:textId="1E287DEB">
      <w:pPr>
        <w:pStyle w:val="ListParagraph"/>
        <w:numPr>
          <w:ilvl w:val="0"/>
          <w:numId w:val="2"/>
        </w:numPr>
        <w:jc w:val="both"/>
        <w:rPr>
          <w:color w:val="000000" w:themeColor="text1"/>
        </w:rPr>
      </w:pPr>
      <w:r w:rsidRPr="00951783">
        <w:t xml:space="preserve">The parameter for </w:t>
      </w:r>
      <w:r w:rsidRPr="00951783" w:rsidR="004D09E6">
        <w:t>the</w:t>
      </w:r>
      <w:r w:rsidRPr="00951783">
        <w:t xml:space="preserve"> search w</w:t>
      </w:r>
      <w:r w:rsidRPr="00951783" w:rsidR="004D09E6">
        <w:t>as</w:t>
      </w:r>
      <w:r w:rsidRPr="00951783">
        <w:t xml:space="preserve"> literature published </w:t>
      </w:r>
      <w:r w:rsidRPr="00951783" w:rsidR="004D4172">
        <w:t>between</w:t>
      </w:r>
      <w:r w:rsidRPr="00951783">
        <w:t xml:space="preserve"> 2017 (or since Sept</w:t>
      </w:r>
      <w:r w:rsidRPr="00951783" w:rsidR="008F4B80">
        <w:t>ember</w:t>
      </w:r>
      <w:r w:rsidRPr="00951783">
        <w:t xml:space="preserve"> 2018 for themes already explored in </w:t>
      </w:r>
      <w:r w:rsidRPr="00951783" w:rsidR="008F4B80">
        <w:t>Bhatia’s and Austin’s</w:t>
      </w:r>
      <w:r w:rsidRPr="00951783">
        <w:t xml:space="preserve"> literature reviews)</w:t>
      </w:r>
      <w:r w:rsidRPr="00951783" w:rsidR="004D4172">
        <w:t xml:space="preserve"> and March 2023,</w:t>
      </w:r>
      <w:r w:rsidRPr="00951783">
        <w:t xml:space="preserve"> with a focus on the most recent literature first.</w:t>
      </w:r>
      <w:r w:rsidRPr="00951783" w:rsidR="00170FD9">
        <w:t xml:space="preserve"> </w:t>
      </w:r>
      <w:r w:rsidRPr="00951783" w:rsidR="003228EE">
        <w:t>The</w:t>
      </w:r>
      <w:r w:rsidRPr="00951783">
        <w:t xml:space="preserve"> initial search w</w:t>
      </w:r>
      <w:r w:rsidRPr="00951783" w:rsidR="004247FF">
        <w:t>as</w:t>
      </w:r>
      <w:r w:rsidRPr="00951783">
        <w:t xml:space="preserve"> confined to sources</w:t>
      </w:r>
      <w:r w:rsidR="0023442D">
        <w:t xml:space="preserve"> </w:t>
      </w:r>
      <w:r w:rsidRPr="00FE5682" w:rsidR="0023442D">
        <w:t>focusing on England</w:t>
      </w:r>
      <w:r w:rsidRPr="00FE5682">
        <w:t xml:space="preserve">, </w:t>
      </w:r>
      <w:r w:rsidRPr="00951783">
        <w:t xml:space="preserve">but this </w:t>
      </w:r>
      <w:r w:rsidRPr="00951783" w:rsidR="00896EBD">
        <w:t>was</w:t>
      </w:r>
      <w:r w:rsidR="00475F45">
        <w:t xml:space="preserve"> </w:t>
      </w:r>
      <w:r w:rsidRPr="00951783">
        <w:t>supplemented</w:t>
      </w:r>
      <w:r w:rsidRPr="00951783" w:rsidR="00896EBD">
        <w:t xml:space="preserve"> by comparative literature from the USA and Europe and </w:t>
      </w:r>
      <w:r w:rsidRPr="00951783" w:rsidR="00DD5779">
        <w:t>literature on resolution mechanisms from Australia and Canada, given their common</w:t>
      </w:r>
      <w:r w:rsidRPr="00951783" w:rsidR="00925EEF">
        <w:t xml:space="preserve">alties with England’s medical and legal systems. </w:t>
      </w:r>
    </w:p>
    <w:p w:rsidRPr="00951783" w:rsidR="00201EA6" w:rsidP="00201EA6" w:rsidRDefault="00201EA6" w14:paraId="3869020B" w14:textId="77777777">
      <w:pPr>
        <w:jc w:val="both"/>
        <w:rPr>
          <w:color w:val="000000" w:themeColor="text1"/>
        </w:rPr>
      </w:pPr>
    </w:p>
    <w:p w:rsidRPr="00951783" w:rsidR="00630CD4" w:rsidP="00630CD4" w:rsidRDefault="00630CD4" w14:paraId="34712E2A" w14:textId="57462899">
      <w:pPr>
        <w:pStyle w:val="ListParagraph"/>
        <w:numPr>
          <w:ilvl w:val="0"/>
          <w:numId w:val="2"/>
        </w:numPr>
        <w:jc w:val="both"/>
      </w:pPr>
      <w:r w:rsidRPr="00951783">
        <w:t>With a focus on peer-reviewed literature, UK legal databases Westlaw, Lexis, Lawtel and Bailii, along with HeinOnline</w:t>
      </w:r>
      <w:r w:rsidRPr="00951783" w:rsidR="00201EA6">
        <w:t xml:space="preserve"> were sought</w:t>
      </w:r>
      <w:r w:rsidRPr="00951783">
        <w:t>. For the sciences and humanities</w:t>
      </w:r>
      <w:r w:rsidRPr="00951783" w:rsidR="00826198">
        <w:t>,</w:t>
      </w:r>
      <w:r w:rsidRPr="00951783">
        <w:t xml:space="preserve"> ProQuest, Scopus, Web of Science and PubMed</w:t>
      </w:r>
      <w:r w:rsidRPr="00951783" w:rsidR="00826198">
        <w:t xml:space="preserve"> were used with </w:t>
      </w:r>
      <w:r w:rsidRPr="00951783">
        <w:t>Google Scholar as an additional resource. Google searches w</w:t>
      </w:r>
      <w:r w:rsidRPr="00951783" w:rsidR="0024484D">
        <w:t>ere</w:t>
      </w:r>
      <w:r w:rsidRPr="00951783">
        <w:t xml:space="preserve"> undertaken to locate supplementary media reports, blogs and other contemporary commentary, with the obvious limitations in terms of quality being noted. </w:t>
      </w:r>
      <w:r w:rsidRPr="00951783" w:rsidR="0024484D">
        <w:t>K</w:t>
      </w:r>
      <w:r w:rsidRPr="00951783">
        <w:t>ey words for the search w</w:t>
      </w:r>
      <w:r w:rsidRPr="00951783" w:rsidR="0024484D">
        <w:t>ere</w:t>
      </w:r>
      <w:r w:rsidRPr="00951783">
        <w:t xml:space="preserve"> initially words and concepts related to the research questions for example, ‘critically ill child/ren’, as well as closely related terms such as ‘end of life’ ‘medical complexity’ ‘palliative care’; ‘medical decision-making’; ‘disagreement/dispute in medical care’; ‘parental responsibility and medical decisions’; ‘family dispute resolution’ etc. Additionally, the names of high-profile legal cases </w:t>
      </w:r>
      <w:r w:rsidRPr="00951783" w:rsidR="0024484D">
        <w:t>were</w:t>
      </w:r>
      <w:r w:rsidRPr="00951783">
        <w:t xml:space="preserve"> used as key search terms.  </w:t>
      </w:r>
    </w:p>
    <w:p w:rsidRPr="00951783" w:rsidR="00B70C41" w:rsidP="00B70C41" w:rsidRDefault="00B70C41" w14:paraId="0BC9F878" w14:textId="77777777">
      <w:pPr>
        <w:jc w:val="both"/>
      </w:pPr>
    </w:p>
    <w:p w:rsidRPr="00EB5A32" w:rsidR="00D53A0E" w:rsidP="00B70C41" w:rsidRDefault="00B70C41" w14:paraId="07BDCF2F" w14:textId="4AD0FFF8">
      <w:pPr>
        <w:jc w:val="both"/>
        <w:rPr>
          <w:b/>
          <w:bCs/>
          <w:color w:val="002060"/>
          <w:sz w:val="28"/>
          <w:szCs w:val="28"/>
          <w:u w:val="single"/>
        </w:rPr>
      </w:pPr>
      <w:r w:rsidRPr="00EB5A32">
        <w:rPr>
          <w:b/>
          <w:bCs/>
          <w:color w:val="002060"/>
          <w:sz w:val="28"/>
          <w:szCs w:val="28"/>
          <w:u w:val="single"/>
        </w:rPr>
        <w:t>3. Recent High-Profile Legal Cases</w:t>
      </w:r>
    </w:p>
    <w:p w:rsidR="00ED464D" w:rsidP="00951783" w:rsidRDefault="00D53A0E" w14:paraId="08998787" w14:textId="3149D536">
      <w:pPr>
        <w:pStyle w:val="ListParagraph"/>
        <w:numPr>
          <w:ilvl w:val="0"/>
          <w:numId w:val="2"/>
        </w:numPr>
        <w:jc w:val="both"/>
      </w:pPr>
      <w:r w:rsidRPr="00951783">
        <w:t xml:space="preserve">Before </w:t>
      </w:r>
      <w:r w:rsidRPr="00951783" w:rsidR="00202196">
        <w:t xml:space="preserve">proceeding to </w:t>
      </w:r>
      <w:r w:rsidRPr="00951783">
        <w:t xml:space="preserve">discuss the findings of the literature review, </w:t>
      </w:r>
      <w:r w:rsidRPr="00951783" w:rsidR="004C6BCE">
        <w:t>it will be beneficial to briefly outline the facts and outcomes of the five recent high-profile legal cases noted in the introduction. Whilst as Birchley</w:t>
      </w:r>
      <w:r w:rsidRPr="00951783" w:rsidR="004D27B0">
        <w:t xml:space="preserve"> observes</w:t>
      </w:r>
      <w:r w:rsidRPr="00951783" w:rsidR="00AE7E1F">
        <w:t xml:space="preserve"> ‘it is a well</w:t>
      </w:r>
      <w:r w:rsidRPr="00951783" w:rsidR="00A8699C">
        <w:t>-</w:t>
      </w:r>
      <w:r w:rsidRPr="00951783" w:rsidR="00AE7E1F">
        <w:t>known legal trope that difficult cases make a bad basis for policy’</w:t>
      </w:r>
      <w:r w:rsidRPr="00951783" w:rsidR="00AE7E1F">
        <w:rPr>
          <w:rStyle w:val="FootnoteReference"/>
        </w:rPr>
        <w:footnoteReference w:id="35"/>
      </w:r>
      <w:r w:rsidRPr="00951783" w:rsidR="004D27B0">
        <w:t xml:space="preserve"> and that the vast majority of disagreements are resolved</w:t>
      </w:r>
      <w:r w:rsidRPr="00951783" w:rsidR="00E24860">
        <w:t xml:space="preserve"> “in the clinic”, </w:t>
      </w:r>
      <w:r w:rsidRPr="00951783" w:rsidR="007E546A">
        <w:t xml:space="preserve">these cases reveal important themes around causes, impact and </w:t>
      </w:r>
      <w:r w:rsidRPr="00951783" w:rsidR="00D641EA">
        <w:t>attempted resolution mechanisms. Additionally</w:t>
      </w:r>
      <w:r w:rsidRPr="00951783" w:rsidR="00B15AFF">
        <w:t>,</w:t>
      </w:r>
      <w:r w:rsidRPr="00951783" w:rsidR="00D641EA">
        <w:t xml:space="preserve"> they have acted as ‘anchor points’ around which the literature was searched. </w:t>
      </w:r>
    </w:p>
    <w:p w:rsidRPr="00951783" w:rsidR="00951783" w:rsidP="00951783" w:rsidRDefault="00951783" w14:paraId="29B9D238" w14:textId="77777777">
      <w:pPr>
        <w:pStyle w:val="ListParagraph"/>
        <w:ind w:left="502"/>
        <w:jc w:val="both"/>
      </w:pPr>
    </w:p>
    <w:p w:rsidRPr="00951783" w:rsidR="00B15AFF" w:rsidP="00951783" w:rsidRDefault="00B15AFF" w14:paraId="2550C53B" w14:textId="41A8ADA9">
      <w:pPr>
        <w:pStyle w:val="ListParagraph"/>
        <w:ind w:left="502"/>
        <w:jc w:val="both"/>
      </w:pPr>
      <w:r w:rsidRPr="00951783">
        <w:rPr>
          <w:i/>
          <w:iCs/>
          <w:u w:val="single"/>
        </w:rPr>
        <w:t>Tafida Raqeeb</w:t>
      </w:r>
      <w:r w:rsidRPr="00951783" w:rsidR="00521121">
        <w:rPr>
          <w:rStyle w:val="FootnoteReference"/>
          <w:u w:val="single"/>
        </w:rPr>
        <w:footnoteReference w:id="36"/>
      </w:r>
    </w:p>
    <w:p w:rsidR="0093150B" w:rsidP="0093150B" w:rsidRDefault="00ED464D" w14:paraId="6396C93E" w14:textId="6C7C298D">
      <w:pPr>
        <w:pStyle w:val="ListParagraph"/>
        <w:jc w:val="both"/>
        <w:rPr>
          <w:sz w:val="24"/>
          <w:szCs w:val="24"/>
        </w:rPr>
      </w:pPr>
      <w:r w:rsidRPr="00951783">
        <w:t>Tafida was a 5</w:t>
      </w:r>
      <w:r w:rsidRPr="00951783" w:rsidR="000E5748">
        <w:t>-</w:t>
      </w:r>
      <w:r w:rsidRPr="00951783">
        <w:t>year-old girl</w:t>
      </w:r>
      <w:r w:rsidR="00831B16">
        <w:t xml:space="preserve"> </w:t>
      </w:r>
      <w:r w:rsidRPr="0059787A" w:rsidR="00831B16">
        <w:t>at the time of the case. She</w:t>
      </w:r>
      <w:r w:rsidRPr="0059787A">
        <w:t xml:space="preserve"> </w:t>
      </w:r>
      <w:r w:rsidRPr="0059787A" w:rsidR="00831B16">
        <w:t xml:space="preserve">had </w:t>
      </w:r>
      <w:r w:rsidRPr="0059787A" w:rsidR="00FF5945">
        <w:t>suffered a</w:t>
      </w:r>
      <w:r w:rsidRPr="0059787A" w:rsidR="00B84531">
        <w:t xml:space="preserve"> life-threatening</w:t>
      </w:r>
      <w:r w:rsidRPr="0059787A" w:rsidR="00FF5945">
        <w:t xml:space="preserve"> blood clot on the brain</w:t>
      </w:r>
      <w:r w:rsidRPr="0059787A" w:rsidR="00AF3FA9">
        <w:t xml:space="preserve"> and underwent surgery. </w:t>
      </w:r>
      <w:r w:rsidRPr="0059787A" w:rsidR="009515CD">
        <w:t>Post-surgery she was mechanically ventilated in the P</w:t>
      </w:r>
      <w:r w:rsidRPr="0059787A" w:rsidR="005D3D14">
        <w:t xml:space="preserve">aediatric Intensive Care </w:t>
      </w:r>
      <w:r w:rsidRPr="0059787A" w:rsidR="0061453A">
        <w:t>U</w:t>
      </w:r>
      <w:r w:rsidRPr="0059787A" w:rsidR="005D3D14">
        <w:t>nit</w:t>
      </w:r>
      <w:r w:rsidRPr="0059787A" w:rsidR="0061453A">
        <w:t xml:space="preserve"> </w:t>
      </w:r>
      <w:r w:rsidR="0061453A">
        <w:t>(P</w:t>
      </w:r>
      <w:r w:rsidRPr="00951783" w:rsidR="009515CD">
        <w:t>ICU</w:t>
      </w:r>
      <w:r w:rsidR="0061453A">
        <w:t>)</w:t>
      </w:r>
      <w:r w:rsidRPr="00951783" w:rsidR="009515CD">
        <w:t>.</w:t>
      </w:r>
      <w:r w:rsidRPr="00951783" w:rsidR="00922C04">
        <w:t xml:space="preserve"> A month after surgery </w:t>
      </w:r>
      <w:r w:rsidRPr="00951783" w:rsidR="00C94044">
        <w:t>her</w:t>
      </w:r>
      <w:r w:rsidRPr="00951783" w:rsidR="00922C04">
        <w:t xml:space="preserve"> clinicians recommended palliative care</w:t>
      </w:r>
      <w:r w:rsidRPr="00951783" w:rsidR="00C94044">
        <w:t>, as they were of the view that the chances of Tafida regaining awareness w</w:t>
      </w:r>
      <w:r w:rsidR="004D608A">
        <w:t>ere</w:t>
      </w:r>
      <w:r w:rsidRPr="00951783" w:rsidR="00C94044">
        <w:t xml:space="preserve"> negligible.</w:t>
      </w:r>
      <w:r w:rsidRPr="00951783" w:rsidR="009515CD">
        <w:t xml:space="preserve"> </w:t>
      </w:r>
      <w:r w:rsidRPr="0059787A" w:rsidR="009515CD">
        <w:t xml:space="preserve">Tafida’s parents </w:t>
      </w:r>
      <w:r w:rsidRPr="0059787A" w:rsidR="00152388">
        <w:t>are</w:t>
      </w:r>
      <w:r w:rsidRPr="0059787A" w:rsidR="009515CD">
        <w:t xml:space="preserve"> </w:t>
      </w:r>
      <w:r w:rsidRPr="0059787A" w:rsidR="00152388">
        <w:t>‘committed</w:t>
      </w:r>
      <w:r w:rsidRPr="0059787A" w:rsidR="009515CD">
        <w:t xml:space="preserve"> </w:t>
      </w:r>
      <w:r w:rsidRPr="0059787A" w:rsidR="00B84531">
        <w:t>M</w:t>
      </w:r>
      <w:r w:rsidRPr="0059787A" w:rsidR="009515CD">
        <w:t>uslims</w:t>
      </w:r>
      <w:r w:rsidRPr="0059787A" w:rsidR="00152388">
        <w:t>’</w:t>
      </w:r>
      <w:r w:rsidRPr="0059787A" w:rsidR="009515CD">
        <w:t xml:space="preserve"> </w:t>
      </w:r>
      <w:r w:rsidRPr="0059787A" w:rsidR="000C004C">
        <w:t xml:space="preserve">and they </w:t>
      </w:r>
      <w:r w:rsidRPr="0059787A" w:rsidR="00F81219">
        <w:t>viewed</w:t>
      </w:r>
      <w:r w:rsidRPr="0059787A" w:rsidR="00F43396">
        <w:t xml:space="preserve"> the active with</w:t>
      </w:r>
      <w:r w:rsidRPr="0059787A" w:rsidR="006943F3">
        <w:t>drawal of treatment as against their personal and religious beliefs</w:t>
      </w:r>
      <w:r w:rsidRPr="0059787A" w:rsidR="00F81219">
        <w:t xml:space="preserve">. </w:t>
      </w:r>
      <w:r w:rsidRPr="00951783" w:rsidR="00F81219">
        <w:t>The parents located a hospital in Italy</w:t>
      </w:r>
      <w:r w:rsidRPr="00951783" w:rsidR="008D386B">
        <w:t xml:space="preserve"> wh</w:t>
      </w:r>
      <w:r w:rsidRPr="00951783" w:rsidR="008F524F">
        <w:t>o were prepared to try weaning Tafida from the ventilator by use of trac</w:t>
      </w:r>
      <w:r w:rsidRPr="00951783" w:rsidR="005F2CF4">
        <w:t xml:space="preserve">heostomy, </w:t>
      </w:r>
      <w:r w:rsidRPr="00FB12F2" w:rsidR="005F2CF4">
        <w:t>with a view to her being cared for at home. The parents wished to transfer Tafida’s care to the Italian hospital</w:t>
      </w:r>
      <w:r w:rsidRPr="00FB12F2" w:rsidR="00EE180E">
        <w:t>,</w:t>
      </w:r>
      <w:r w:rsidRPr="00FB12F2" w:rsidR="004D13D4">
        <w:t xml:space="preserve"> but</w:t>
      </w:r>
      <w:r w:rsidRPr="00FB12F2" w:rsidR="005E4BE3">
        <w:t xml:space="preserve"> </w:t>
      </w:r>
      <w:r w:rsidRPr="00FB12F2" w:rsidR="004D13D4">
        <w:t>t</w:t>
      </w:r>
      <w:r w:rsidRPr="00FB12F2" w:rsidR="005E4BE3">
        <w:t xml:space="preserve">he doctors felt that to move her would not be in her best interests. </w:t>
      </w:r>
      <w:r w:rsidRPr="00FB12F2" w:rsidR="004D13D4">
        <w:t xml:space="preserve"> The parents sought judicial review of the hospital’s decision,</w:t>
      </w:r>
      <w:r w:rsidRPr="00FB12F2" w:rsidR="00F76975">
        <w:t xml:space="preserve"> argu</w:t>
      </w:r>
      <w:r w:rsidRPr="00FB12F2" w:rsidR="004D13D4">
        <w:t>ing</w:t>
      </w:r>
      <w:r w:rsidRPr="00FB12F2" w:rsidR="00F76975">
        <w:t xml:space="preserve"> that to prohibit th</w:t>
      </w:r>
      <w:r w:rsidRPr="00FB12F2" w:rsidR="004D13D4">
        <w:t>e transfer</w:t>
      </w:r>
      <w:r w:rsidRPr="00FB12F2" w:rsidR="00F76975">
        <w:t xml:space="preserve"> would be an infringement of the right to receive services under EU law.</w:t>
      </w:r>
      <w:r w:rsidRPr="00FB12F2" w:rsidR="00EE180E">
        <w:t xml:space="preserve"> </w:t>
      </w:r>
      <w:r w:rsidRPr="0059787A" w:rsidR="00EE180E">
        <w:t>The</w:t>
      </w:r>
      <w:r w:rsidRPr="0059787A" w:rsidR="0045683A">
        <w:t xml:space="preserve"> NHS</w:t>
      </w:r>
      <w:r w:rsidRPr="0059787A" w:rsidR="00EE180E">
        <w:t xml:space="preserve"> </w:t>
      </w:r>
      <w:r w:rsidRPr="00FB12F2" w:rsidR="00563B0A">
        <w:t>T</w:t>
      </w:r>
      <w:r w:rsidRPr="00FB12F2" w:rsidR="00EE180E">
        <w:t>rust issued a concurrent applic</w:t>
      </w:r>
      <w:r w:rsidRPr="00FB12F2" w:rsidR="005529A1">
        <w:t xml:space="preserve">ation for a declaration that </w:t>
      </w:r>
      <w:r w:rsidRPr="00FB12F2" w:rsidR="007C356B">
        <w:t>it was in Tafida’s best interest</w:t>
      </w:r>
      <w:r w:rsidR="00435DF2">
        <w:t>s</w:t>
      </w:r>
      <w:r w:rsidRPr="00FB12F2" w:rsidR="007C356B">
        <w:t xml:space="preserve"> for treatment to be withdrawn.</w:t>
      </w:r>
      <w:r w:rsidRPr="00FB12F2" w:rsidR="00F76975">
        <w:t xml:space="preserve"> </w:t>
      </w:r>
      <w:r w:rsidRPr="00FB12F2" w:rsidR="00FF0333">
        <w:t>The</w:t>
      </w:r>
      <w:r w:rsidRPr="00FB12F2" w:rsidR="00F930CC">
        <w:t xml:space="preserve"> judicial review</w:t>
      </w:r>
      <w:r w:rsidRPr="00FB12F2" w:rsidR="007C356B">
        <w:t xml:space="preserve"> was not successful</w:t>
      </w:r>
      <w:r w:rsidRPr="00FB12F2" w:rsidR="00CA744E">
        <w:t xml:space="preserve">, but </w:t>
      </w:r>
      <w:r w:rsidRPr="00FB12F2" w:rsidR="007C356B">
        <w:t>in the best interests hearing</w:t>
      </w:r>
      <w:r w:rsidRPr="00FB12F2" w:rsidR="00A51BC0">
        <w:t xml:space="preserve"> the court held that in the absence of pain and suffering</w:t>
      </w:r>
      <w:r w:rsidR="00435DF2">
        <w:t>,</w:t>
      </w:r>
      <w:r w:rsidRPr="00FB12F2" w:rsidR="00A43137">
        <w:t xml:space="preserve"> family and religious benefits could be considered</w:t>
      </w:r>
      <w:r w:rsidR="00934599">
        <w:t xml:space="preserve"> – </w:t>
      </w:r>
      <w:r w:rsidRPr="0059787A" w:rsidR="00934599">
        <w:t xml:space="preserve">concluding that it </w:t>
      </w:r>
      <w:r w:rsidR="00934599">
        <w:t xml:space="preserve">was not satisfied thar </w:t>
      </w:r>
      <w:r w:rsidRPr="00FB12F2" w:rsidR="00645CD4">
        <w:t>withdrawal was in Tafida’s best interests</w:t>
      </w:r>
      <w:r w:rsidRPr="00FB12F2" w:rsidR="00B70567">
        <w:t>.</w:t>
      </w:r>
      <w:r w:rsidRPr="00FB12F2" w:rsidR="00CA744E">
        <w:t xml:space="preserve"> Tafida was transferred to </w:t>
      </w:r>
      <w:r w:rsidRPr="00FB12F2" w:rsidR="005E1AC4">
        <w:t>the Italian hospital</w:t>
      </w:r>
      <w:r w:rsidRPr="00FB12F2" w:rsidR="00CA744E">
        <w:t>, where she currently resides.</w:t>
      </w:r>
      <w:r w:rsidR="00AB5E71">
        <w:rPr>
          <w:rStyle w:val="FootnoteReference"/>
        </w:rPr>
        <w:footnoteReference w:id="37"/>
      </w:r>
    </w:p>
    <w:p w:rsidRPr="00202196" w:rsidR="00B70567" w:rsidP="0093150B" w:rsidRDefault="00B70567" w14:paraId="63D7BFAF" w14:textId="77777777">
      <w:pPr>
        <w:pStyle w:val="ListParagraph"/>
        <w:jc w:val="both"/>
        <w:rPr>
          <w:sz w:val="24"/>
          <w:szCs w:val="24"/>
        </w:rPr>
      </w:pPr>
    </w:p>
    <w:p w:rsidRPr="00E1128C" w:rsidR="00B15AFF" w:rsidP="00E1128C" w:rsidRDefault="00B15AFF" w14:paraId="541185A5" w14:textId="2386D55D">
      <w:pPr>
        <w:pStyle w:val="ListParagraph"/>
        <w:ind w:left="502"/>
        <w:jc w:val="both"/>
      </w:pPr>
      <w:r w:rsidRPr="00E1128C">
        <w:rPr>
          <w:i/>
          <w:iCs/>
          <w:u w:val="single"/>
        </w:rPr>
        <w:t>Pippa Knight</w:t>
      </w:r>
      <w:r w:rsidRPr="00E1128C" w:rsidR="0093150B">
        <w:rPr>
          <w:rStyle w:val="FootnoteReference"/>
          <w:u w:val="single"/>
        </w:rPr>
        <w:footnoteReference w:id="38"/>
      </w:r>
    </w:p>
    <w:p w:rsidRPr="00E1128C" w:rsidR="0093150B" w:rsidP="00187EF1" w:rsidRDefault="000E5748" w14:paraId="00AC8CFE" w14:textId="4C926603">
      <w:pPr>
        <w:pStyle w:val="ListParagraph"/>
        <w:jc w:val="both"/>
      </w:pPr>
      <w:r w:rsidRPr="00E1128C">
        <w:t>Pippa was a</w:t>
      </w:r>
      <w:r w:rsidRPr="00E1128C" w:rsidR="004E58AE">
        <w:t xml:space="preserve"> 6-</w:t>
      </w:r>
      <w:r w:rsidRPr="00E1128C">
        <w:t>year</w:t>
      </w:r>
      <w:r w:rsidRPr="00E1128C" w:rsidR="004E58AE">
        <w:t>-</w:t>
      </w:r>
      <w:r w:rsidRPr="00E1128C">
        <w:t>old girl who</w:t>
      </w:r>
      <w:r w:rsidR="00BF7BBB">
        <w:t>,</w:t>
      </w:r>
      <w:r w:rsidRPr="00E1128C">
        <w:t xml:space="preserve"> </w:t>
      </w:r>
      <w:r w:rsidRPr="00E1128C" w:rsidR="00446F7A">
        <w:t>when 20 months old</w:t>
      </w:r>
      <w:r w:rsidR="00BF7BBB">
        <w:t>,</w:t>
      </w:r>
      <w:r w:rsidRPr="00E1128C" w:rsidR="00446F7A">
        <w:t xml:space="preserve"> </w:t>
      </w:r>
      <w:r w:rsidRPr="00E1128C" w:rsidR="00591603">
        <w:t xml:space="preserve">suffered acute necrotising encephalopathy </w:t>
      </w:r>
      <w:r w:rsidRPr="00E1128C" w:rsidR="00222698">
        <w:t>and was left severely brain damaged</w:t>
      </w:r>
      <w:r w:rsidRPr="00E1128C" w:rsidR="000069F1">
        <w:t xml:space="preserve"> in a persistent vegetative state.</w:t>
      </w:r>
      <w:r w:rsidRPr="00E1128C" w:rsidR="00222698">
        <w:t xml:space="preserve"> She was mechanically vent</w:t>
      </w:r>
      <w:r w:rsidRPr="00E1128C" w:rsidR="00D965F9">
        <w:t>ilated</w:t>
      </w:r>
      <w:r w:rsidRPr="00E1128C" w:rsidR="006A66A7">
        <w:t xml:space="preserve"> in the PICU</w:t>
      </w:r>
      <w:r w:rsidRPr="00E1128C" w:rsidR="00D965F9">
        <w:t xml:space="preserve">. </w:t>
      </w:r>
      <w:r w:rsidRPr="00E1128C" w:rsidR="000069F1">
        <w:t>The position of the doctors was that treatment should be withdrawn</w:t>
      </w:r>
      <w:r w:rsidRPr="00E1128C" w:rsidR="003329A7">
        <w:t xml:space="preserve"> as there was no prospect of recovery</w:t>
      </w:r>
      <w:r w:rsidRPr="00E1128C" w:rsidR="000069F1">
        <w:t>.</w:t>
      </w:r>
      <w:r w:rsidRPr="00E1128C" w:rsidR="0096095F">
        <w:t xml:space="preserve"> Pippa’s mother felt that she had made progress and wished for her to receive a tracheostomy and ultimately be cared for at home. </w:t>
      </w:r>
      <w:r w:rsidRPr="00E1128C" w:rsidR="004114DA">
        <w:t xml:space="preserve">The court tackled questions of </w:t>
      </w:r>
      <w:r w:rsidRPr="00E1128C" w:rsidR="0065717D">
        <w:t xml:space="preserve">what harm </w:t>
      </w:r>
      <w:r w:rsidRPr="00660D0D" w:rsidR="0065717D">
        <w:t xml:space="preserve">might </w:t>
      </w:r>
      <w:r w:rsidRPr="00660D0D" w:rsidR="00DA38B3">
        <w:t>constitute</w:t>
      </w:r>
      <w:r w:rsidRPr="00660D0D" w:rsidR="0065717D">
        <w:t xml:space="preserve"> </w:t>
      </w:r>
      <w:r w:rsidRPr="00E1128C" w:rsidR="0065717D">
        <w:t>in the absence of pain and suffering</w:t>
      </w:r>
      <w:r w:rsidRPr="00660D0D" w:rsidR="00C219C0">
        <w:t>.</w:t>
      </w:r>
      <w:r w:rsidRPr="00660D0D" w:rsidR="0065717D">
        <w:t xml:space="preserve"> </w:t>
      </w:r>
      <w:r w:rsidRPr="00660D0D" w:rsidR="00C219C0">
        <w:t>It</w:t>
      </w:r>
      <w:r w:rsidRPr="00660D0D" w:rsidR="0065717D">
        <w:t xml:space="preserve"> held </w:t>
      </w:r>
      <w:r w:rsidRPr="00E1128C" w:rsidR="0065717D">
        <w:t>that continued treatment was</w:t>
      </w:r>
      <w:r w:rsidRPr="00E1128C" w:rsidR="00BE5010">
        <w:t xml:space="preserve"> burdensome to her person</w:t>
      </w:r>
      <w:r w:rsidRPr="00E1128C" w:rsidR="00603CC1">
        <w:t>, with no corresponding benefits</w:t>
      </w:r>
      <w:r w:rsidR="00316D47">
        <w:t>,</w:t>
      </w:r>
      <w:r w:rsidRPr="00E1128C" w:rsidR="00BE5010">
        <w:t xml:space="preserve"> and therefore</w:t>
      </w:r>
      <w:r w:rsidRPr="00E1128C" w:rsidR="0065717D">
        <w:t xml:space="preserve"> harmful and not in her best interests</w:t>
      </w:r>
      <w:r w:rsidRPr="00E1128C" w:rsidR="00BF60F3">
        <w:t>. This finding was upheld on appeal</w:t>
      </w:r>
      <w:r w:rsidRPr="00E1128C" w:rsidR="00050A5E">
        <w:t xml:space="preserve">, </w:t>
      </w:r>
      <w:r w:rsidRPr="00E1128C" w:rsidR="00BF60F3">
        <w:t>treatment was withdrawn</w:t>
      </w:r>
      <w:r w:rsidR="00316D47">
        <w:t>,</w:t>
      </w:r>
      <w:r w:rsidRPr="00E1128C" w:rsidR="00BF60F3">
        <w:t xml:space="preserve"> and Pippa died shortly after.</w:t>
      </w:r>
    </w:p>
    <w:p w:rsidRPr="00E1128C" w:rsidR="0093150B" w:rsidP="0093150B" w:rsidRDefault="0093150B" w14:paraId="3629E7C0" w14:textId="77777777">
      <w:pPr>
        <w:pStyle w:val="ListParagraph"/>
        <w:jc w:val="both"/>
      </w:pPr>
    </w:p>
    <w:p w:rsidRPr="00E1128C" w:rsidR="00B15AFF" w:rsidP="00E1128C" w:rsidRDefault="00B15AFF" w14:paraId="56095D69" w14:textId="082B9C79">
      <w:pPr>
        <w:pStyle w:val="ListParagraph"/>
        <w:ind w:left="502"/>
        <w:jc w:val="both"/>
      </w:pPr>
      <w:r w:rsidRPr="00E1128C">
        <w:rPr>
          <w:i/>
          <w:iCs/>
          <w:u w:val="single"/>
        </w:rPr>
        <w:t>Alta Fixsler</w:t>
      </w:r>
      <w:r w:rsidRPr="00E1128C" w:rsidR="00967D39">
        <w:rPr>
          <w:i/>
          <w:iCs/>
          <w:u w:val="single"/>
        </w:rPr>
        <w:t xml:space="preserve"> </w:t>
      </w:r>
      <w:r w:rsidRPr="00E1128C" w:rsidR="00967D39">
        <w:rPr>
          <w:u w:val="single"/>
        </w:rPr>
        <w:t>(2021)</w:t>
      </w:r>
      <w:r w:rsidRPr="00E1128C" w:rsidR="0093150B">
        <w:rPr>
          <w:rStyle w:val="FootnoteReference"/>
          <w:u w:val="single"/>
        </w:rPr>
        <w:footnoteReference w:id="39"/>
      </w:r>
    </w:p>
    <w:p w:rsidRPr="00E1128C" w:rsidR="00045897" w:rsidP="00045897" w:rsidRDefault="007455D6" w14:paraId="2562E877" w14:textId="58A5547A">
      <w:pPr>
        <w:pStyle w:val="ListParagraph"/>
        <w:jc w:val="both"/>
      </w:pPr>
      <w:r w:rsidRPr="00E1128C">
        <w:t xml:space="preserve">Alta was </w:t>
      </w:r>
      <w:r w:rsidRPr="00E1128C" w:rsidR="00E24860">
        <w:t>a 2</w:t>
      </w:r>
      <w:r w:rsidRPr="00E1128C" w:rsidR="00473100">
        <w:t>-</w:t>
      </w:r>
      <w:r w:rsidRPr="00E1128C" w:rsidR="00E24860">
        <w:t>year</w:t>
      </w:r>
      <w:r w:rsidRPr="00E1128C" w:rsidR="00473100">
        <w:t>-</w:t>
      </w:r>
      <w:r w:rsidRPr="00E1128C" w:rsidR="00E24860">
        <w:t>old girl who</w:t>
      </w:r>
      <w:r w:rsidR="00316D47">
        <w:t>,</w:t>
      </w:r>
      <w:r w:rsidRPr="00E1128C" w:rsidR="00E24860">
        <w:t xml:space="preserve"> as a result of her premature birth</w:t>
      </w:r>
      <w:r w:rsidR="00316D47">
        <w:t>,</w:t>
      </w:r>
      <w:r w:rsidRPr="00E1128C" w:rsidR="00E24860">
        <w:t xml:space="preserve"> had suffered cata</w:t>
      </w:r>
      <w:r w:rsidRPr="00E1128C" w:rsidR="00255331">
        <w:t>strophic brain injury. She had been mechanically ventilated and tube</w:t>
      </w:r>
      <w:r w:rsidRPr="00E1128C" w:rsidR="002C3A14">
        <w:t>-</w:t>
      </w:r>
      <w:r w:rsidRPr="00E1128C" w:rsidR="00255331">
        <w:t>fed in the PICU since birth</w:t>
      </w:r>
      <w:r w:rsidRPr="00E1128C" w:rsidR="007E3C3B">
        <w:t>,</w:t>
      </w:r>
      <w:r w:rsidRPr="00E1128C" w:rsidR="00255331">
        <w:t xml:space="preserve"> and her </w:t>
      </w:r>
      <w:r w:rsidRPr="00E1128C" w:rsidR="00211A61">
        <w:t>life expectancy was estimated at a further 6 mo</w:t>
      </w:r>
      <w:r w:rsidRPr="00E1128C" w:rsidR="007E3C3B">
        <w:t>n</w:t>
      </w:r>
      <w:r w:rsidRPr="00E1128C" w:rsidR="00211A61">
        <w:t xml:space="preserve">ths-2 years. </w:t>
      </w:r>
      <w:r w:rsidRPr="00E1128C" w:rsidR="00AE5EDB">
        <w:t>All agreed that there was no prospect of recovery</w:t>
      </w:r>
      <w:r w:rsidRPr="00E1128C" w:rsidR="007E3C3B">
        <w:t>,</w:t>
      </w:r>
      <w:r w:rsidRPr="00E1128C" w:rsidR="00AE5EDB">
        <w:t xml:space="preserve"> and the clin</w:t>
      </w:r>
      <w:r w:rsidRPr="00E1128C" w:rsidR="007E3C3B">
        <w:t>i</w:t>
      </w:r>
      <w:r w:rsidRPr="00E1128C" w:rsidR="00AE5EDB">
        <w:t>cians’ position was that Alta was experiencing consistent pain.</w:t>
      </w:r>
      <w:r w:rsidRPr="00E1128C" w:rsidR="00A82FAF">
        <w:t xml:space="preserve"> </w:t>
      </w:r>
      <w:r w:rsidRPr="00E1128C" w:rsidR="00827E6C">
        <w:t>The NHS Trust applied to the court for a declaration that it was not in Alta’s best interests to continue treatment and</w:t>
      </w:r>
      <w:r w:rsidRPr="00E1128C" w:rsidR="00051929">
        <w:t xml:space="preserve"> that</w:t>
      </w:r>
      <w:r w:rsidRPr="00E1128C" w:rsidR="00827E6C">
        <w:t xml:space="preserve"> </w:t>
      </w:r>
      <w:r w:rsidRPr="00E1128C" w:rsidR="00F52C94">
        <w:t>palliative care</w:t>
      </w:r>
      <w:r w:rsidRPr="00E1128C" w:rsidR="00051929">
        <w:t xml:space="preserve"> be</w:t>
      </w:r>
      <w:r w:rsidRPr="00E1128C" w:rsidR="00F52C94">
        <w:t xml:space="preserve"> instituted. </w:t>
      </w:r>
      <w:r w:rsidRPr="00660D0D" w:rsidR="00F52C94">
        <w:t xml:space="preserve">Alta’s parents </w:t>
      </w:r>
      <w:r w:rsidRPr="00660D0D" w:rsidR="00C219C0">
        <w:t>are</w:t>
      </w:r>
      <w:r w:rsidRPr="00660D0D" w:rsidR="00F52C94">
        <w:t xml:space="preserve"> orthodox Chassidic Jews</w:t>
      </w:r>
      <w:r w:rsidRPr="00660D0D" w:rsidR="00EE2280">
        <w:t xml:space="preserve"> and Israeli citizens</w:t>
      </w:r>
      <w:r w:rsidRPr="00660D0D" w:rsidR="00C219C0">
        <w:t>,</w:t>
      </w:r>
      <w:r w:rsidRPr="00660D0D" w:rsidR="001D5608">
        <w:t xml:space="preserve"> </w:t>
      </w:r>
      <w:r w:rsidRPr="00660D0D" w:rsidR="00F52C94">
        <w:t>and</w:t>
      </w:r>
      <w:r w:rsidRPr="00660D0D" w:rsidR="00C219C0">
        <w:t xml:space="preserve"> they</w:t>
      </w:r>
      <w:r w:rsidRPr="00660D0D" w:rsidR="00F52C94">
        <w:t xml:space="preserve"> objected </w:t>
      </w:r>
      <w:r w:rsidRPr="00660D0D" w:rsidR="00AE5EDB">
        <w:t>to the</w:t>
      </w:r>
      <w:r w:rsidRPr="00660D0D" w:rsidR="00C219C0">
        <w:t xml:space="preserve"> NHS</w:t>
      </w:r>
      <w:r w:rsidRPr="00660D0D" w:rsidR="00AE5EDB">
        <w:t xml:space="preserve"> Trust’s application </w:t>
      </w:r>
      <w:r w:rsidRPr="00660D0D" w:rsidR="00283557">
        <w:t>due to</w:t>
      </w:r>
      <w:r w:rsidRPr="00660D0D" w:rsidR="00EE2280">
        <w:t xml:space="preserve"> their religious views</w:t>
      </w:r>
      <w:r w:rsidRPr="00660D0D" w:rsidR="00474097">
        <w:t xml:space="preserve"> on sanctity of life</w:t>
      </w:r>
      <w:r w:rsidRPr="00660D0D" w:rsidR="00EE2280">
        <w:t>. They wished to take Alta to Israel for further treatment</w:t>
      </w:r>
      <w:r w:rsidRPr="00660D0D" w:rsidR="004971D5">
        <w:t xml:space="preserve"> or to die in the Holy Land. The court declared that</w:t>
      </w:r>
      <w:r w:rsidRPr="00660D0D" w:rsidR="00A04A7B">
        <w:t xml:space="preserve"> neither</w:t>
      </w:r>
      <w:r w:rsidRPr="00660D0D" w:rsidR="004971D5">
        <w:t xml:space="preserve"> continued treatment</w:t>
      </w:r>
      <w:r w:rsidRPr="00660D0D" w:rsidR="00A04A7B">
        <w:t xml:space="preserve"> </w:t>
      </w:r>
      <w:r w:rsidRPr="00660D0D" w:rsidR="00A77052">
        <w:t>n</w:t>
      </w:r>
      <w:r w:rsidRPr="00660D0D" w:rsidR="00A04A7B">
        <w:t>or transfer to Israel was in A</w:t>
      </w:r>
      <w:r w:rsidRPr="00660D0D" w:rsidR="00BB69C3">
        <w:t>lta’s</w:t>
      </w:r>
      <w:r w:rsidRPr="00660D0D" w:rsidR="00A04A7B">
        <w:t xml:space="preserve"> best interests and that palliative care </w:t>
      </w:r>
      <w:r w:rsidRPr="00660D0D" w:rsidR="00BB69C3">
        <w:t xml:space="preserve">should be instituted. This decision was upheld by the Court of Appeal and leave to appeal was refused by the Supreme Court and the </w:t>
      </w:r>
      <w:r w:rsidRPr="00660D0D" w:rsidR="00D64798">
        <w:t>European Court o</w:t>
      </w:r>
      <w:r w:rsidRPr="00660D0D" w:rsidR="00BF7F11">
        <w:t>f</w:t>
      </w:r>
      <w:r w:rsidRPr="00660D0D" w:rsidR="00D64798">
        <w:t xml:space="preserve"> Human Rights</w:t>
      </w:r>
      <w:r w:rsidRPr="00660D0D" w:rsidR="00C53A4A">
        <w:t xml:space="preserve">. Alta’s case returned to the High Court </w:t>
      </w:r>
      <w:r w:rsidRPr="00660D0D" w:rsidR="00F6446C">
        <w:t xml:space="preserve">five </w:t>
      </w:r>
      <w:r w:rsidRPr="00660D0D" w:rsidR="00C53A4A">
        <w:t xml:space="preserve">months after the original decision, regarding a dispute over </w:t>
      </w:r>
      <w:r w:rsidRPr="00660D0D" w:rsidR="00AE27C7">
        <w:t xml:space="preserve">the location </w:t>
      </w:r>
      <w:r w:rsidRPr="00660D0D" w:rsidR="00817015">
        <w:t>in which</w:t>
      </w:r>
      <w:r w:rsidRPr="00660D0D" w:rsidR="00AE27C7">
        <w:t xml:space="preserve"> Alta’s treatment would be withdrawn</w:t>
      </w:r>
      <w:r w:rsidRPr="00660D0D" w:rsidR="00F6446C">
        <w:t xml:space="preserve">. </w:t>
      </w:r>
      <w:r w:rsidRPr="00660D0D" w:rsidR="00141FE8">
        <w:t xml:space="preserve">Whilst the parents argued that this should take place at </w:t>
      </w:r>
      <w:r w:rsidRPr="00660D0D" w:rsidR="00465898">
        <w:t>home, t</w:t>
      </w:r>
      <w:r w:rsidRPr="00660D0D" w:rsidR="00F6446C">
        <w:t xml:space="preserve">he </w:t>
      </w:r>
      <w:r w:rsidRPr="00660D0D" w:rsidR="001D62AE">
        <w:t>C</w:t>
      </w:r>
      <w:r w:rsidRPr="00660D0D" w:rsidR="00F6446C">
        <w:t xml:space="preserve">ourt ruled that </w:t>
      </w:r>
      <w:r w:rsidRPr="00660D0D" w:rsidR="00465898">
        <w:t xml:space="preserve">Alta should be transferred to a </w:t>
      </w:r>
      <w:r w:rsidRPr="00660D0D" w:rsidR="00F6446C">
        <w:t>hospice</w:t>
      </w:r>
      <w:r w:rsidRPr="00660D0D" w:rsidR="00465898">
        <w:t xml:space="preserve"> for this purpose</w:t>
      </w:r>
      <w:r w:rsidRPr="00660D0D" w:rsidR="001D62AE">
        <w:t>,</w:t>
      </w:r>
      <w:r w:rsidRPr="00660D0D" w:rsidR="00F6446C">
        <w:t xml:space="preserve"> and </w:t>
      </w:r>
      <w:r w:rsidRPr="00660D0D" w:rsidR="00465898">
        <w:t>she</w:t>
      </w:r>
      <w:r w:rsidRPr="00660D0D" w:rsidR="00F6446C">
        <w:t xml:space="preserve"> died </w:t>
      </w:r>
      <w:r w:rsidRPr="00660D0D" w:rsidR="00DA6C82">
        <w:t>within hours of treatment being withdrawn.</w:t>
      </w:r>
      <w:r w:rsidRPr="00660D0D" w:rsidR="00DA6C82">
        <w:rPr>
          <w:rStyle w:val="FootnoteReference"/>
        </w:rPr>
        <w:footnoteReference w:id="40"/>
      </w:r>
    </w:p>
    <w:p w:rsidRPr="00E1128C" w:rsidR="00137148" w:rsidP="00045897" w:rsidRDefault="00137148" w14:paraId="6AF4645D" w14:textId="77777777">
      <w:pPr>
        <w:pStyle w:val="ListParagraph"/>
        <w:jc w:val="both"/>
      </w:pPr>
    </w:p>
    <w:p w:rsidRPr="00E1128C" w:rsidR="00B15AFF" w:rsidP="00E1128C" w:rsidRDefault="00B15AFF" w14:paraId="6B2C4C49" w14:textId="268885F1">
      <w:pPr>
        <w:pStyle w:val="ListParagraph"/>
        <w:ind w:left="502"/>
        <w:jc w:val="both"/>
      </w:pPr>
      <w:r w:rsidRPr="00E1128C">
        <w:rPr>
          <w:i/>
          <w:iCs/>
          <w:u w:val="single"/>
        </w:rPr>
        <w:t>William Verden</w:t>
      </w:r>
      <w:r w:rsidRPr="00E1128C" w:rsidR="00791DA6">
        <w:rPr>
          <w:u w:val="single"/>
        </w:rPr>
        <w:t xml:space="preserve"> (2022)</w:t>
      </w:r>
      <w:r w:rsidRPr="00E1128C" w:rsidR="00791DA6">
        <w:rPr>
          <w:rStyle w:val="FootnoteReference"/>
          <w:u w:val="single"/>
        </w:rPr>
        <w:footnoteReference w:id="41"/>
      </w:r>
    </w:p>
    <w:p w:rsidR="00D422B3" w:rsidP="00187EF1" w:rsidRDefault="00AF4F07" w14:paraId="24DBA311" w14:textId="280E0739">
      <w:pPr>
        <w:ind w:left="720"/>
        <w:jc w:val="both"/>
        <w:rPr>
          <w:sz w:val="24"/>
          <w:szCs w:val="24"/>
        </w:rPr>
      </w:pPr>
      <w:r w:rsidRPr="00E1128C">
        <w:t xml:space="preserve">William </w:t>
      </w:r>
      <w:r w:rsidRPr="00E1128C" w:rsidR="007455D6">
        <w:t>was</w:t>
      </w:r>
      <w:r w:rsidRPr="00E1128C">
        <w:t xml:space="preserve"> a 17</w:t>
      </w:r>
      <w:r w:rsidRPr="00E1128C" w:rsidR="00473100">
        <w:t>-</w:t>
      </w:r>
      <w:r w:rsidRPr="00E1128C">
        <w:t>year</w:t>
      </w:r>
      <w:r w:rsidRPr="00E1128C" w:rsidR="00791DA6">
        <w:t>-</w:t>
      </w:r>
      <w:r w:rsidRPr="00E1128C">
        <w:t>old boy</w:t>
      </w:r>
      <w:r w:rsidR="003D5B7E">
        <w:t xml:space="preserve"> </w:t>
      </w:r>
      <w:r w:rsidRPr="00660D0D" w:rsidR="003D5B7E">
        <w:t>at the time of the case</w:t>
      </w:r>
      <w:r w:rsidRPr="00660D0D" w:rsidR="00E54F3D">
        <w:t>,</w:t>
      </w:r>
      <w:r w:rsidRPr="00660D0D">
        <w:t xml:space="preserve"> w</w:t>
      </w:r>
      <w:r w:rsidRPr="00660D0D" w:rsidR="007973EF">
        <w:t>ho</w:t>
      </w:r>
      <w:r w:rsidRPr="00660D0D">
        <w:t xml:space="preserve"> </w:t>
      </w:r>
      <w:r w:rsidRPr="00660D0D" w:rsidR="007973EF">
        <w:t>lacked</w:t>
      </w:r>
      <w:r w:rsidRPr="00660D0D">
        <w:t xml:space="preserve"> capacity due to learning disability, autism</w:t>
      </w:r>
      <w:r w:rsidRPr="00660D0D" w:rsidR="001F1044">
        <w:t xml:space="preserve">, </w:t>
      </w:r>
      <w:r w:rsidRPr="00660D0D">
        <w:t>A</w:t>
      </w:r>
      <w:r w:rsidRPr="00660D0D" w:rsidR="00F94083">
        <w:t xml:space="preserve">ttention Deficit Hyperactivity Disorder </w:t>
      </w:r>
      <w:r w:rsidR="00F94083">
        <w:t>(ADHD),</w:t>
      </w:r>
      <w:r w:rsidRPr="00E1128C">
        <w:t xml:space="preserve"> </w:t>
      </w:r>
      <w:r w:rsidRPr="00E1128C" w:rsidR="00DC3AC3">
        <w:t>and</w:t>
      </w:r>
      <w:r w:rsidRPr="00E1128C">
        <w:t xml:space="preserve"> hypersensitivity. </w:t>
      </w:r>
      <w:r w:rsidRPr="00E1128C" w:rsidR="007973EF">
        <w:t xml:space="preserve">He </w:t>
      </w:r>
      <w:r w:rsidRPr="00E1128C" w:rsidR="00565774">
        <w:t>had bee</w:t>
      </w:r>
      <w:r w:rsidRPr="00E1128C">
        <w:t>n</w:t>
      </w:r>
      <w:r w:rsidRPr="00E1128C" w:rsidR="00565774">
        <w:t xml:space="preserve"> undergoing dialysis</w:t>
      </w:r>
      <w:r w:rsidRPr="00E1128C" w:rsidR="00177520">
        <w:t xml:space="preserve"> as a result of kidney failure</w:t>
      </w:r>
      <w:r w:rsidRPr="00E1128C" w:rsidR="001F1044">
        <w:t xml:space="preserve"> </w:t>
      </w:r>
      <w:r w:rsidRPr="00E1128C" w:rsidR="00565774">
        <w:t>but did not tolerate invasive treatm</w:t>
      </w:r>
      <w:r w:rsidRPr="00E1128C" w:rsidR="001A395D">
        <w:t>ents</w:t>
      </w:r>
      <w:r w:rsidRPr="00E1128C" w:rsidR="00565774">
        <w:t xml:space="preserve"> well and had exhibited violence to his parents and the staff. He was in need o</w:t>
      </w:r>
      <w:r w:rsidRPr="00E1128C" w:rsidR="005D1739">
        <w:t xml:space="preserve">f a kidney transplant, without which his venous </w:t>
      </w:r>
      <w:r w:rsidRPr="00660D0D" w:rsidR="005D1739">
        <w:t>access</w:t>
      </w:r>
      <w:r w:rsidRPr="00660D0D" w:rsidR="009E0E07">
        <w:t xml:space="preserve"> for dialysis</w:t>
      </w:r>
      <w:r w:rsidRPr="00660D0D" w:rsidR="005D1739">
        <w:t xml:space="preserve"> </w:t>
      </w:r>
      <w:r w:rsidRPr="00E1128C" w:rsidR="005D1739">
        <w:t>would cease in approximately 12</w:t>
      </w:r>
      <w:r w:rsidRPr="00E1128C" w:rsidR="00300EFE">
        <w:t xml:space="preserve"> </w:t>
      </w:r>
      <w:r w:rsidRPr="00E1128C" w:rsidR="005D1739">
        <w:t>months</w:t>
      </w:r>
      <w:r w:rsidRPr="00E1128C" w:rsidR="00137148">
        <w:t>,</w:t>
      </w:r>
      <w:r w:rsidRPr="00E1128C" w:rsidR="005D1739">
        <w:t xml:space="preserve"> and he would </w:t>
      </w:r>
      <w:r w:rsidRPr="00E1128C" w:rsidR="001A395D">
        <w:t xml:space="preserve">die. </w:t>
      </w:r>
      <w:r w:rsidRPr="00E1128C" w:rsidR="00B2048E">
        <w:t>The NHS Trust felt that the harm from the transplant and post-op</w:t>
      </w:r>
      <w:r w:rsidRPr="00E1128C" w:rsidR="003A356E">
        <w:t>erative</w:t>
      </w:r>
      <w:r w:rsidRPr="00E1128C" w:rsidR="00B2048E">
        <w:t xml:space="preserve"> treatment, including </w:t>
      </w:r>
      <w:r w:rsidRPr="00E1128C" w:rsidR="00D422B3">
        <w:t xml:space="preserve">risks related to tolerance of necessary sedation and post-operative ventilation and the high potential for psychological damage, </w:t>
      </w:r>
      <w:r w:rsidRPr="00E1128C" w:rsidR="00B2048E">
        <w:t>was greater than continuation of haemodialysis until venous access no longer possible.</w:t>
      </w:r>
      <w:r w:rsidRPr="00E1128C" w:rsidR="00D422B3">
        <w:t xml:space="preserve"> </w:t>
      </w:r>
      <w:r w:rsidRPr="00E1128C" w:rsidR="009324DC">
        <w:t xml:space="preserve">William’s mother wished to consent to the transplant and argued that it was in his best interests despite the risks. </w:t>
      </w:r>
      <w:r w:rsidRPr="00E1128C" w:rsidR="00D422B3">
        <w:t>The Trust sought a determination of William</w:t>
      </w:r>
      <w:r w:rsidRPr="00E1128C" w:rsidR="009324DC">
        <w:t>’s best interests from the court, which declared that</w:t>
      </w:r>
      <w:r w:rsidRPr="00E1128C" w:rsidR="00A51765">
        <w:t xml:space="preserve"> the</w:t>
      </w:r>
      <w:r w:rsidRPr="00E1128C" w:rsidR="009324DC">
        <w:t xml:space="preserve"> transplant</w:t>
      </w:r>
      <w:r w:rsidRPr="00E1128C" w:rsidR="00A51765">
        <w:t xml:space="preserve"> was not futile and was the ‘least bad opi</w:t>
      </w:r>
      <w:r w:rsidRPr="00E1128C" w:rsidR="00C92DDB">
        <w:t>nion</w:t>
      </w:r>
      <w:r w:rsidRPr="00E1128C" w:rsidR="006C0B77">
        <w:t>’</w:t>
      </w:r>
      <w:r w:rsidRPr="00E1128C" w:rsidR="00C92DDB">
        <w:t xml:space="preserve"> for William and </w:t>
      </w:r>
      <w:r w:rsidRPr="00E1128C" w:rsidR="009324DC">
        <w:t xml:space="preserve">was </w:t>
      </w:r>
      <w:r w:rsidRPr="00E1128C" w:rsidR="00C92DDB">
        <w:t xml:space="preserve">therefore in his </w:t>
      </w:r>
      <w:r w:rsidRPr="00E1128C" w:rsidR="009324DC">
        <w:t>best interests.</w:t>
      </w:r>
      <w:r w:rsidR="00C81702">
        <w:t xml:space="preserve"> </w:t>
      </w:r>
      <w:r w:rsidRPr="00660D0D" w:rsidR="00C81702">
        <w:t>William received a kidney transplant</w:t>
      </w:r>
      <w:r w:rsidRPr="00660D0D" w:rsidR="003649DE">
        <w:t xml:space="preserve">, </w:t>
      </w:r>
      <w:r w:rsidRPr="00660D0D" w:rsidR="00775E55">
        <w:t>spent weeks under post-operative sedation</w:t>
      </w:r>
      <w:r w:rsidRPr="00660D0D" w:rsidR="00CA6E5A">
        <w:t>,</w:t>
      </w:r>
      <w:r w:rsidRPr="00660D0D" w:rsidR="003649DE">
        <w:t xml:space="preserve"> and </w:t>
      </w:r>
      <w:r w:rsidRPr="00660D0D" w:rsidR="00CA6E5A">
        <w:t>has since recovered at home.</w:t>
      </w:r>
      <w:r w:rsidRPr="00660D0D" w:rsidR="00985A88">
        <w:rPr>
          <w:rStyle w:val="FootnoteReference"/>
        </w:rPr>
        <w:footnoteReference w:id="42"/>
      </w:r>
    </w:p>
    <w:p w:rsidR="00045897" w:rsidP="00045897" w:rsidRDefault="00045897" w14:paraId="77BB2644" w14:textId="77777777">
      <w:pPr>
        <w:rPr>
          <w:sz w:val="24"/>
          <w:szCs w:val="24"/>
        </w:rPr>
      </w:pPr>
    </w:p>
    <w:p w:rsidRPr="00F12979" w:rsidR="007219CD" w:rsidP="00F12979" w:rsidRDefault="00B15AFF" w14:paraId="1B97B21E" w14:textId="61B7E906">
      <w:pPr>
        <w:pStyle w:val="ListParagraph"/>
        <w:ind w:left="502"/>
      </w:pPr>
      <w:r w:rsidRPr="00F12979">
        <w:rPr>
          <w:i/>
          <w:iCs/>
          <w:u w:val="single"/>
        </w:rPr>
        <w:t>Archie Batters</w:t>
      </w:r>
      <w:r w:rsidRPr="00F12979" w:rsidR="007219CD">
        <w:rPr>
          <w:i/>
          <w:iCs/>
          <w:u w:val="single"/>
        </w:rPr>
        <w:t>bee</w:t>
      </w:r>
      <w:r w:rsidRPr="00F12979" w:rsidR="00B556AE">
        <w:rPr>
          <w:u w:val="single"/>
        </w:rPr>
        <w:t xml:space="preserve"> (2022) </w:t>
      </w:r>
      <w:r w:rsidRPr="00F12979" w:rsidR="00045897">
        <w:rPr>
          <w:rStyle w:val="FootnoteReference"/>
          <w:u w:val="single"/>
        </w:rPr>
        <w:footnoteReference w:id="43"/>
      </w:r>
    </w:p>
    <w:p w:rsidRPr="00F12979" w:rsidR="00394528" w:rsidP="00187EF1" w:rsidRDefault="005C5E3F" w14:paraId="6BEF8D01" w14:textId="71A6212C">
      <w:pPr>
        <w:ind w:left="720"/>
        <w:jc w:val="both"/>
      </w:pPr>
      <w:r w:rsidRPr="00F12979">
        <w:t>Ar</w:t>
      </w:r>
      <w:r w:rsidRPr="00F12979" w:rsidR="000E5748">
        <w:t>chie was a 12-year-old boy who</w:t>
      </w:r>
      <w:r w:rsidRPr="00F12979" w:rsidR="008E2845">
        <w:t xml:space="preserve"> suffered </w:t>
      </w:r>
      <w:r w:rsidRPr="00F12979" w:rsidR="00405302">
        <w:t>catastrophic brain damage</w:t>
      </w:r>
      <w:r w:rsidRPr="00F12979" w:rsidR="008E2845">
        <w:t xml:space="preserve"> after a hanging incident.</w:t>
      </w:r>
      <w:r w:rsidRPr="00F12979" w:rsidR="00D77851">
        <w:t xml:space="preserve"> For several </w:t>
      </w:r>
      <w:r w:rsidRPr="00F12979" w:rsidR="004C7E57">
        <w:t>weeks</w:t>
      </w:r>
      <w:r w:rsidRPr="00F12979" w:rsidR="00D77851">
        <w:t xml:space="preserve"> he had remained unconscious and mechanically ventilated in the PICU. </w:t>
      </w:r>
      <w:r w:rsidRPr="00F12979" w:rsidR="005D6FF5">
        <w:t>The treating clinicians</w:t>
      </w:r>
      <w:r w:rsidR="00EA7E46">
        <w:t>’</w:t>
      </w:r>
      <w:r w:rsidRPr="00F12979" w:rsidR="005D6FF5">
        <w:t xml:space="preserve"> view was that Archie was brain</w:t>
      </w:r>
      <w:r w:rsidRPr="00F12979" w:rsidR="008727BA">
        <w:t>-</w:t>
      </w:r>
      <w:r w:rsidRPr="00F12979" w:rsidR="005D6FF5">
        <w:t>stem</w:t>
      </w:r>
      <w:r w:rsidRPr="00F12979" w:rsidR="008727BA">
        <w:t xml:space="preserve"> </w:t>
      </w:r>
      <w:r w:rsidRPr="00F12979" w:rsidR="005D6FF5">
        <w:t>dead</w:t>
      </w:r>
      <w:r w:rsidRPr="00F12979" w:rsidR="008907F9">
        <w:t>,</w:t>
      </w:r>
      <w:r w:rsidRPr="00F12979" w:rsidR="005D6FF5">
        <w:t xml:space="preserve"> </w:t>
      </w:r>
      <w:r w:rsidRPr="00F12979" w:rsidR="00741F3D">
        <w:t xml:space="preserve">but his family </w:t>
      </w:r>
      <w:r w:rsidRPr="00F12979" w:rsidR="00A26832">
        <w:t xml:space="preserve">believed there was a prospect for recovery and refused to consent to the confirmatory test. </w:t>
      </w:r>
      <w:r w:rsidRPr="00F12979" w:rsidR="00D05C75">
        <w:t>Th</w:t>
      </w:r>
      <w:r w:rsidRPr="00F12979" w:rsidR="00A26832">
        <w:t xml:space="preserve">e court </w:t>
      </w:r>
      <w:r w:rsidRPr="00F12979" w:rsidR="00332F99">
        <w:t>issued a declaration that it was in Archie’s best interests to have the brain</w:t>
      </w:r>
      <w:r w:rsidRPr="00F12979" w:rsidR="008727BA">
        <w:t>-</w:t>
      </w:r>
      <w:r w:rsidRPr="00F12979" w:rsidR="00332F99">
        <w:t>stem death test.</w:t>
      </w:r>
      <w:r w:rsidR="00286EAA">
        <w:t xml:space="preserve"> </w:t>
      </w:r>
      <w:r w:rsidRPr="00660D0D" w:rsidR="00286EAA">
        <w:t>A series of court cases over the course o</w:t>
      </w:r>
      <w:r w:rsidRPr="00660D0D" w:rsidR="001B7389">
        <w:t>f</w:t>
      </w:r>
      <w:r w:rsidRPr="00660D0D" w:rsidR="00286EAA">
        <w:t xml:space="preserve"> 4 months</w:t>
      </w:r>
      <w:r w:rsidRPr="00660D0D" w:rsidR="00332F99">
        <w:t xml:space="preserve"> then ensued, with </w:t>
      </w:r>
      <w:r w:rsidRPr="00660D0D" w:rsidR="00682F26">
        <w:t>the clin</w:t>
      </w:r>
      <w:r w:rsidRPr="00660D0D" w:rsidR="00F92214">
        <w:t>i</w:t>
      </w:r>
      <w:r w:rsidRPr="00660D0D" w:rsidR="00682F26">
        <w:t>cia</w:t>
      </w:r>
      <w:r w:rsidRPr="00660D0D" w:rsidR="00A2047E">
        <w:t>l position being</w:t>
      </w:r>
      <w:r w:rsidRPr="00660D0D" w:rsidR="00682F26">
        <w:t xml:space="preserve"> </w:t>
      </w:r>
      <w:r w:rsidRPr="00F12979" w:rsidR="00682F26">
        <w:t>that either Archie was already dead, or that continued treatment was not in his best interests</w:t>
      </w:r>
      <w:r w:rsidRPr="00F12979" w:rsidR="00206E73">
        <w:t>.</w:t>
      </w:r>
      <w:r w:rsidRPr="00F12979" w:rsidR="00682F26">
        <w:t xml:space="preserve"> </w:t>
      </w:r>
      <w:r w:rsidRPr="00F12979" w:rsidR="00206E73">
        <w:t xml:space="preserve">The </w:t>
      </w:r>
      <w:r w:rsidRPr="00F12979" w:rsidR="00682F26">
        <w:t xml:space="preserve">family </w:t>
      </w:r>
      <w:r w:rsidRPr="00F12979" w:rsidR="008C2C91">
        <w:t>refus</w:t>
      </w:r>
      <w:r w:rsidRPr="00F12979" w:rsidR="00206E73">
        <w:t>ed</w:t>
      </w:r>
      <w:r w:rsidRPr="00F12979" w:rsidR="008C2C91">
        <w:t xml:space="preserve"> to consent to withdrawal of treatment </w:t>
      </w:r>
      <w:r w:rsidRPr="00F12979" w:rsidR="00EC4A42">
        <w:t xml:space="preserve">due to </w:t>
      </w:r>
      <w:r w:rsidRPr="00F12979" w:rsidR="00F92214">
        <w:t>their views</w:t>
      </w:r>
      <w:r w:rsidRPr="00F12979" w:rsidR="00EC4A42">
        <w:t xml:space="preserve"> abo</w:t>
      </w:r>
      <w:r w:rsidRPr="00F12979" w:rsidR="00F92214">
        <w:t xml:space="preserve">ut the </w:t>
      </w:r>
      <w:r w:rsidRPr="00F12979" w:rsidR="008C2C91">
        <w:t>prognosis,</w:t>
      </w:r>
      <w:r w:rsidRPr="00F12979" w:rsidR="00BE2BB0">
        <w:t xml:space="preserve"> </w:t>
      </w:r>
      <w:r w:rsidRPr="00F12979" w:rsidR="00EC4A42">
        <w:t xml:space="preserve">the reliability of </w:t>
      </w:r>
      <w:r w:rsidRPr="00F12979" w:rsidR="00BE2BB0">
        <w:t>evidence</w:t>
      </w:r>
      <w:r w:rsidRPr="00F12979" w:rsidR="00EC4A42">
        <w:t xml:space="preserve"> and testing</w:t>
      </w:r>
      <w:r w:rsidRPr="00F12979" w:rsidR="00F92214">
        <w:t>,</w:t>
      </w:r>
      <w:r w:rsidRPr="00F12979" w:rsidR="00BE2BB0">
        <w:t xml:space="preserve"> </w:t>
      </w:r>
      <w:r w:rsidRPr="00F12979" w:rsidR="008D1D05">
        <w:t>and</w:t>
      </w:r>
      <w:r w:rsidRPr="00F12979" w:rsidR="00072E1F">
        <w:t xml:space="preserve"> </w:t>
      </w:r>
      <w:r w:rsidRPr="00F12979" w:rsidR="00EE2F20">
        <w:t>religious belief</w:t>
      </w:r>
      <w:r w:rsidRPr="00F12979" w:rsidR="008D1D05">
        <w:t xml:space="preserve">. </w:t>
      </w:r>
      <w:r w:rsidRPr="00F12979" w:rsidR="007A6EDC">
        <w:t>The courts consistently held that it was not in Archie</w:t>
      </w:r>
      <w:r w:rsidRPr="00F12979" w:rsidR="00072E1F">
        <w:t>’</w:t>
      </w:r>
      <w:r w:rsidRPr="00F12979" w:rsidR="007A6EDC">
        <w:t xml:space="preserve">s best interests to </w:t>
      </w:r>
      <w:r w:rsidRPr="00F12979" w:rsidR="00A66682">
        <w:t xml:space="preserve">continue treatment. </w:t>
      </w:r>
      <w:r w:rsidRPr="00F12979" w:rsidR="00E94517">
        <w:t>Archie died shortly after his life support was withdrawn.</w:t>
      </w:r>
    </w:p>
    <w:p w:rsidRPr="00E97856" w:rsidR="00394528" w:rsidP="00E97856" w:rsidRDefault="00394528" w14:paraId="2CDC3088" w14:textId="77777777">
      <w:pPr>
        <w:jc w:val="both"/>
        <w:rPr>
          <w:sz w:val="24"/>
          <w:szCs w:val="24"/>
          <w:u w:val="single"/>
        </w:rPr>
      </w:pPr>
    </w:p>
    <w:p w:rsidRPr="0093150B" w:rsidR="00215352" w:rsidP="007219CD" w:rsidRDefault="001909B4" w14:paraId="7B90ADEC" w14:textId="3650000A">
      <w:pPr>
        <w:jc w:val="both"/>
        <w:rPr>
          <w:sz w:val="32"/>
          <w:szCs w:val="32"/>
          <w:u w:val="single"/>
        </w:rPr>
      </w:pPr>
      <w:r w:rsidRPr="090C4359">
        <w:rPr>
          <w:b/>
          <w:bCs/>
          <w:color w:val="002060"/>
          <w:sz w:val="32"/>
          <w:szCs w:val="32"/>
          <w:u w:val="single"/>
        </w:rPr>
        <w:t>4.</w:t>
      </w:r>
      <w:r w:rsidRPr="090C4359" w:rsidR="76DF6F23">
        <w:rPr>
          <w:b/>
          <w:bCs/>
          <w:color w:val="002060"/>
          <w:sz w:val="32"/>
          <w:szCs w:val="32"/>
          <w:u w:val="single"/>
        </w:rPr>
        <w:t xml:space="preserve"> </w:t>
      </w:r>
      <w:r w:rsidRPr="090C4359" w:rsidR="00215352">
        <w:rPr>
          <w:b/>
          <w:bCs/>
          <w:color w:val="002060"/>
          <w:sz w:val="32"/>
          <w:szCs w:val="32"/>
          <w:u w:val="single"/>
        </w:rPr>
        <w:t xml:space="preserve">Findings </w:t>
      </w:r>
    </w:p>
    <w:p w:rsidR="000F50FD" w:rsidP="00215352" w:rsidRDefault="00504474" w14:paraId="15ED32A7" w14:textId="4CFA9F52">
      <w:pPr>
        <w:jc w:val="both"/>
        <w:rPr>
          <w:b/>
          <w:bCs/>
          <w:color w:val="002060"/>
          <w:sz w:val="28"/>
          <w:szCs w:val="28"/>
          <w:u w:val="single"/>
        </w:rPr>
      </w:pPr>
      <w:r>
        <w:rPr>
          <w:b/>
          <w:bCs/>
          <w:color w:val="002060"/>
          <w:sz w:val="28"/>
          <w:szCs w:val="28"/>
          <w:u w:val="single"/>
        </w:rPr>
        <w:t>A: Causes of Disagreement</w:t>
      </w:r>
    </w:p>
    <w:p w:rsidRPr="00660D0D" w:rsidR="00FD1AF7" w:rsidP="002B4258" w:rsidRDefault="00FD1AF7" w14:paraId="78AE0AE4" w14:textId="3578A928">
      <w:pPr>
        <w:pStyle w:val="ListParagraph"/>
        <w:numPr>
          <w:ilvl w:val="0"/>
          <w:numId w:val="2"/>
        </w:numPr>
        <w:jc w:val="both"/>
        <w:rPr>
          <w:rFonts w:cstheme="minorHAnsi"/>
        </w:rPr>
      </w:pPr>
      <w:r w:rsidRPr="00660D0D">
        <w:rPr>
          <w:rFonts w:cstheme="minorHAnsi"/>
        </w:rPr>
        <w:t>Evidence shows that due to advances in medicine and technology</w:t>
      </w:r>
      <w:r w:rsidRPr="00660D0D" w:rsidR="002B4258">
        <w:rPr>
          <w:rFonts w:cstheme="minorHAnsi"/>
        </w:rPr>
        <w:t>,</w:t>
      </w:r>
      <w:r w:rsidRPr="00660D0D">
        <w:rPr>
          <w:rFonts w:cstheme="minorHAnsi"/>
        </w:rPr>
        <w:t xml:space="preserve"> </w:t>
      </w:r>
      <w:r w:rsidRPr="00660D0D" w:rsidR="00665530">
        <w:rPr>
          <w:rFonts w:cstheme="minorHAnsi"/>
        </w:rPr>
        <w:t>some children with chronic conditions</w:t>
      </w:r>
      <w:r w:rsidRPr="00660D0D">
        <w:rPr>
          <w:rFonts w:cstheme="minorHAnsi"/>
        </w:rPr>
        <w:t xml:space="preserve"> are living</w:t>
      </w:r>
      <w:r w:rsidRPr="00660D0D" w:rsidR="002A7815">
        <w:rPr>
          <w:rFonts w:cstheme="minorHAnsi"/>
        </w:rPr>
        <w:t xml:space="preserve"> </w:t>
      </w:r>
      <w:r w:rsidRPr="00660D0D">
        <w:rPr>
          <w:rFonts w:cstheme="minorHAnsi"/>
        </w:rPr>
        <w:t>longer but with greater morbidity</w:t>
      </w:r>
      <w:r w:rsidRPr="00660D0D" w:rsidR="00CC5AB1">
        <w:rPr>
          <w:rFonts w:cstheme="minorHAnsi"/>
        </w:rPr>
        <w:t xml:space="preserve">, and in acute cases children are now surviving that would otherwise have died. </w:t>
      </w:r>
      <w:r w:rsidRPr="00660D0D" w:rsidR="00DC117D">
        <w:rPr>
          <w:rFonts w:cstheme="minorHAnsi"/>
        </w:rPr>
        <w:t>The ethical dilemmas ar</w:t>
      </w:r>
      <w:r w:rsidRPr="00660D0D" w:rsidR="0001049F">
        <w:rPr>
          <w:rFonts w:cstheme="minorHAnsi"/>
        </w:rPr>
        <w:t>i</w:t>
      </w:r>
      <w:r w:rsidRPr="00660D0D" w:rsidR="00DC117D">
        <w:rPr>
          <w:rFonts w:cstheme="minorHAnsi"/>
        </w:rPr>
        <w:t xml:space="preserve">sing from the tensions between what medical science </w:t>
      </w:r>
      <w:r w:rsidRPr="00660D0D" w:rsidR="008061D6">
        <w:rPr>
          <w:rFonts w:cstheme="minorHAnsi"/>
          <w:i/>
          <w:iCs/>
        </w:rPr>
        <w:t>can</w:t>
      </w:r>
      <w:r w:rsidRPr="00660D0D" w:rsidR="008061D6">
        <w:rPr>
          <w:rFonts w:cstheme="minorHAnsi"/>
        </w:rPr>
        <w:t xml:space="preserve"> now do and what we </w:t>
      </w:r>
      <w:r w:rsidRPr="00660D0D" w:rsidR="008061D6">
        <w:rPr>
          <w:rFonts w:cstheme="minorHAnsi"/>
          <w:i/>
          <w:iCs/>
        </w:rPr>
        <w:t>should</w:t>
      </w:r>
      <w:r w:rsidRPr="00660D0D" w:rsidR="008061D6">
        <w:rPr>
          <w:rFonts w:cstheme="minorHAnsi"/>
        </w:rPr>
        <w:t xml:space="preserve"> do, </w:t>
      </w:r>
      <w:r w:rsidRPr="00660D0D" w:rsidR="00312BDB">
        <w:rPr>
          <w:rFonts w:cstheme="minorHAnsi"/>
        </w:rPr>
        <w:t>underlie may of the conflicts in the care of critically-ill children.</w:t>
      </w:r>
      <w:r w:rsidRPr="00660D0D" w:rsidR="008061D6">
        <w:rPr>
          <w:rFonts w:cstheme="minorHAnsi"/>
        </w:rPr>
        <w:t xml:space="preserve"> </w:t>
      </w:r>
      <w:r w:rsidRPr="00660D0D">
        <w:rPr>
          <w:rFonts w:cstheme="minorHAnsi"/>
        </w:rPr>
        <w:t>Forbat and Barclay not</w:t>
      </w:r>
      <w:r w:rsidRPr="00660D0D" w:rsidR="00D7248C">
        <w:rPr>
          <w:rFonts w:cstheme="minorHAnsi"/>
        </w:rPr>
        <w:t>e</w:t>
      </w:r>
      <w:r w:rsidRPr="00660D0D">
        <w:rPr>
          <w:rFonts w:cstheme="minorHAnsi"/>
        </w:rPr>
        <w:t xml:space="preserve"> that the </w:t>
      </w:r>
      <w:r w:rsidRPr="00660D0D" w:rsidR="00D7248C">
        <w:rPr>
          <w:rFonts w:cstheme="minorHAnsi"/>
        </w:rPr>
        <w:t>c</w:t>
      </w:r>
      <w:r w:rsidRPr="00660D0D">
        <w:rPr>
          <w:rFonts w:cstheme="minorHAnsi"/>
        </w:rPr>
        <w:t>linical implications</w:t>
      </w:r>
      <w:r w:rsidRPr="00660D0D" w:rsidR="00D7248C">
        <w:rPr>
          <w:rFonts w:cstheme="minorHAnsi"/>
        </w:rPr>
        <w:t xml:space="preserve"> of</w:t>
      </w:r>
      <w:r w:rsidRPr="00660D0D" w:rsidR="001C0EA5">
        <w:rPr>
          <w:rFonts w:cstheme="minorHAnsi"/>
        </w:rPr>
        <w:t xml:space="preserve"> </w:t>
      </w:r>
      <w:r w:rsidRPr="00660D0D" w:rsidR="00A16A4C">
        <w:rPr>
          <w:rFonts w:cstheme="minorHAnsi"/>
        </w:rPr>
        <w:t>greater survival rates</w:t>
      </w:r>
      <w:r w:rsidRPr="00660D0D" w:rsidR="001C0EA5">
        <w:rPr>
          <w:rFonts w:cstheme="minorHAnsi"/>
        </w:rPr>
        <w:t xml:space="preserve"> </w:t>
      </w:r>
      <w:r w:rsidRPr="00660D0D" w:rsidR="00135843">
        <w:rPr>
          <w:rFonts w:cstheme="minorHAnsi"/>
        </w:rPr>
        <w:t>‘</w:t>
      </w:r>
      <w:r w:rsidRPr="00660D0D">
        <w:rPr>
          <w:rFonts w:cstheme="minorHAnsi"/>
        </w:rPr>
        <w:t>include an increased frequency in difficult decision-making regarding the benefits versus the burden of intensive and invasive treatment, especially when curative treatment is no longer possible.’</w:t>
      </w:r>
      <w:r w:rsidRPr="00660D0D">
        <w:rPr>
          <w:rStyle w:val="FootnoteReference"/>
          <w:rFonts w:cstheme="minorHAnsi"/>
        </w:rPr>
        <w:footnoteReference w:id="44"/>
      </w:r>
      <w:r w:rsidRPr="00660D0D">
        <w:rPr>
          <w:rFonts w:cstheme="minorHAnsi"/>
        </w:rPr>
        <w:t xml:space="preserve"> </w:t>
      </w:r>
      <w:r w:rsidRPr="00660D0D" w:rsidR="00690E3F">
        <w:rPr>
          <w:rFonts w:cstheme="minorHAnsi"/>
        </w:rPr>
        <w:t xml:space="preserve">One effect of technological improvements </w:t>
      </w:r>
      <w:r w:rsidRPr="00660D0D" w:rsidR="00CB77A7">
        <w:rPr>
          <w:rFonts w:cstheme="minorHAnsi"/>
        </w:rPr>
        <w:t>is</w:t>
      </w:r>
      <w:r w:rsidRPr="00660D0D">
        <w:rPr>
          <w:rFonts w:cstheme="minorHAnsi"/>
        </w:rPr>
        <w:t xml:space="preserve"> a significant increase in the proportion and length of long-stays</w:t>
      </w:r>
      <w:r w:rsidRPr="00660D0D" w:rsidR="00A976E3">
        <w:rPr>
          <w:rStyle w:val="FootnoteReference"/>
          <w:rFonts w:cstheme="minorHAnsi"/>
        </w:rPr>
        <w:footnoteReference w:id="45"/>
      </w:r>
      <w:r w:rsidRPr="00660D0D" w:rsidR="00690E3F">
        <w:rPr>
          <w:rFonts w:cstheme="minorHAnsi"/>
        </w:rPr>
        <w:t xml:space="preserve"> in </w:t>
      </w:r>
      <w:r w:rsidRPr="00660D0D" w:rsidR="009A7497">
        <w:rPr>
          <w:rFonts w:cstheme="minorHAnsi"/>
        </w:rPr>
        <w:t xml:space="preserve">PICU as discovered in a 20-year retrospective analysis of </w:t>
      </w:r>
      <w:r w:rsidRPr="00660D0D" w:rsidR="00A976E3">
        <w:rPr>
          <w:rFonts w:cstheme="minorHAnsi"/>
        </w:rPr>
        <w:t xml:space="preserve">PICU </w:t>
      </w:r>
      <w:r w:rsidRPr="00660D0D" w:rsidR="009A7497">
        <w:rPr>
          <w:rFonts w:cstheme="minorHAnsi"/>
        </w:rPr>
        <w:t>admissions in Birmingham Children’s Hospital</w:t>
      </w:r>
      <w:r w:rsidRPr="00660D0D" w:rsidR="00A976E3">
        <w:rPr>
          <w:rFonts w:cstheme="minorHAnsi"/>
        </w:rPr>
        <w:t>.</w:t>
      </w:r>
      <w:r w:rsidRPr="00660D0D" w:rsidR="009A7497">
        <w:rPr>
          <w:rStyle w:val="FootnoteReference"/>
          <w:rFonts w:cstheme="minorHAnsi"/>
        </w:rPr>
        <w:footnoteReference w:id="46"/>
      </w:r>
      <w:r w:rsidRPr="00660D0D" w:rsidR="00A976E3">
        <w:rPr>
          <w:rFonts w:cstheme="minorHAnsi"/>
        </w:rPr>
        <w:t xml:space="preserve"> T</w:t>
      </w:r>
      <w:r w:rsidRPr="00660D0D">
        <w:rPr>
          <w:rFonts w:cstheme="minorHAnsi"/>
        </w:rPr>
        <w:t>he authors suggest that reasons for the increase might include ‘patient/public expectations of healthcare, increase in shared decision-making, a fear of litigation among physicians when considering end-of-life decisions for children’</w:t>
      </w:r>
      <w:r w:rsidRPr="00660D0D">
        <w:rPr>
          <w:rStyle w:val="FootnoteReference"/>
          <w:rFonts w:cstheme="minorHAnsi"/>
        </w:rPr>
        <w:footnoteReference w:id="47"/>
      </w:r>
      <w:r w:rsidRPr="00660D0D" w:rsidR="00B7565C">
        <w:rPr>
          <w:rFonts w:cstheme="minorHAnsi"/>
        </w:rPr>
        <w:t xml:space="preserve"> -</w:t>
      </w:r>
      <w:r w:rsidRPr="00660D0D">
        <w:rPr>
          <w:rFonts w:cstheme="minorHAnsi"/>
        </w:rPr>
        <w:t xml:space="preserve"> </w:t>
      </w:r>
      <w:r w:rsidRPr="00660D0D" w:rsidR="004F1235">
        <w:rPr>
          <w:rFonts w:cstheme="minorHAnsi"/>
        </w:rPr>
        <w:t xml:space="preserve">all factors identified in the literature as </w:t>
      </w:r>
      <w:r w:rsidRPr="00660D0D" w:rsidR="00547496">
        <w:rPr>
          <w:rFonts w:cstheme="minorHAnsi"/>
        </w:rPr>
        <w:t>factors which may give rise to conflict.</w:t>
      </w:r>
    </w:p>
    <w:p w:rsidRPr="003A357D" w:rsidR="00FD1AF7" w:rsidP="005D37DD" w:rsidRDefault="00FD1AF7" w14:paraId="533A2519" w14:textId="77777777">
      <w:pPr>
        <w:pStyle w:val="ListParagraph"/>
        <w:jc w:val="both"/>
        <w:rPr>
          <w:rFonts w:cstheme="minorHAnsi"/>
        </w:rPr>
      </w:pPr>
    </w:p>
    <w:p w:rsidRPr="003A357D" w:rsidR="008F4C2F" w:rsidP="008F4C2F" w:rsidRDefault="00D45D6C" w14:paraId="17F3251A" w14:textId="6201386B">
      <w:pPr>
        <w:pStyle w:val="ListParagraph"/>
        <w:numPr>
          <w:ilvl w:val="0"/>
          <w:numId w:val="2"/>
        </w:numPr>
        <w:jc w:val="both"/>
        <w:rPr>
          <w:rFonts w:cstheme="minorHAnsi"/>
        </w:rPr>
      </w:pPr>
      <w:r w:rsidRPr="003A357D">
        <w:t xml:space="preserve">Causes of disagreement can be complex and multi-faceted. </w:t>
      </w:r>
      <w:r w:rsidRPr="003A357D" w:rsidR="00E47F47">
        <w:t>I</w:t>
      </w:r>
      <w:r w:rsidRPr="003A357D">
        <w:t>n some cases</w:t>
      </w:r>
      <w:r w:rsidR="005D52D8">
        <w:t>,</w:t>
      </w:r>
      <w:r w:rsidRPr="003A357D">
        <w:t xml:space="preserve"> the reason can be clearly and quickly identified, </w:t>
      </w:r>
      <w:r w:rsidRPr="003A357D" w:rsidR="00E47F47">
        <w:t>but in others there are</w:t>
      </w:r>
      <w:r w:rsidRPr="003A357D">
        <w:t xml:space="preserve"> overlapping and cumulative</w:t>
      </w:r>
      <w:r w:rsidRPr="003A357D" w:rsidR="00337137">
        <w:t xml:space="preserve"> factors</w:t>
      </w:r>
      <w:r w:rsidR="009D7F76">
        <w:t>,</w:t>
      </w:r>
      <w:r w:rsidRPr="003A357D" w:rsidR="00C2264B">
        <w:t xml:space="preserve"> </w:t>
      </w:r>
      <w:r w:rsidRPr="003A357D">
        <w:t xml:space="preserve">exemplified in </w:t>
      </w:r>
      <w:r w:rsidRPr="003A357D">
        <w:rPr>
          <w:i/>
          <w:iCs/>
        </w:rPr>
        <w:t>Battersbee</w:t>
      </w:r>
      <w:r w:rsidRPr="003A357D">
        <w:t xml:space="preserve">, </w:t>
      </w:r>
      <w:r w:rsidRPr="003A357D" w:rsidR="00C2264B">
        <w:t xml:space="preserve">which revealed </w:t>
      </w:r>
      <w:r w:rsidRPr="003A357D">
        <w:t xml:space="preserve">at least </w:t>
      </w:r>
      <w:r w:rsidRPr="003A357D" w:rsidR="00684A8B">
        <w:t>eight</w:t>
      </w:r>
      <w:r w:rsidRPr="003A357D">
        <w:t xml:space="preserve"> possible reasons for</w:t>
      </w:r>
      <w:r w:rsidRPr="003A357D" w:rsidR="00C2264B">
        <w:t xml:space="preserve"> </w:t>
      </w:r>
      <w:r w:rsidRPr="003A357D">
        <w:t>relationship breakdown between Archie’s parents and the healthcare professionals.</w:t>
      </w:r>
      <w:r w:rsidRPr="003A357D" w:rsidR="005E183B">
        <w:t xml:space="preserve"> A t</w:t>
      </w:r>
      <w:r w:rsidRPr="003A357D">
        <w:t>ypical trajectory of conflict according t</w:t>
      </w:r>
      <w:r w:rsidRPr="003A357D" w:rsidR="00D22C6E">
        <w:t>o</w:t>
      </w:r>
      <w:r w:rsidRPr="003A357D">
        <w:t xml:space="preserve"> Forbat is</w:t>
      </w:r>
      <w:r w:rsidRPr="003A357D" w:rsidR="00652A83">
        <w:t xml:space="preserve"> that</w:t>
      </w:r>
      <w:r w:rsidRPr="003A357D" w:rsidR="00D22C6E">
        <w:t>:</w:t>
      </w:r>
    </w:p>
    <w:p w:rsidRPr="003A357D" w:rsidR="00D22C6E" w:rsidP="00D22C6E" w:rsidRDefault="00D22C6E" w14:paraId="2A58DE1B" w14:textId="77777777">
      <w:pPr>
        <w:pStyle w:val="ListParagraph"/>
        <w:rPr>
          <w:rFonts w:cstheme="minorHAnsi"/>
          <w:color w:val="000000"/>
          <w:shd w:val="clear" w:color="auto" w:fill="FFFFFF"/>
        </w:rPr>
      </w:pPr>
    </w:p>
    <w:p w:rsidR="00333861" w:rsidP="00333861" w:rsidRDefault="00D45D6C" w14:paraId="316C910C" w14:textId="08BD26DE">
      <w:pPr>
        <w:pStyle w:val="ListParagraph"/>
        <w:ind w:left="1440"/>
        <w:jc w:val="both"/>
        <w:rPr>
          <w:rFonts w:cstheme="minorHAnsi"/>
          <w:color w:val="000000"/>
          <w:shd w:val="clear" w:color="auto" w:fill="FFFFFF"/>
        </w:rPr>
      </w:pPr>
      <w:r w:rsidRPr="003A357D">
        <w:rPr>
          <w:rFonts w:cstheme="minorHAnsi"/>
          <w:color w:val="000000"/>
          <w:shd w:val="clear" w:color="auto" w:fill="FFFFFF"/>
        </w:rPr>
        <w:t>[i]nitial conflict might include insensitive use of language, staff giving conflicting messages about a child’s status, or a history of unresolved conflict in other services. Conflict then escalates to include repetitive arguments, staff or families avoiding contact with each other, and families micromanaging or documenting all care activities. At the most severe level of conflict, the relationship between staff and family disintegrates – the conflict takes on a life of its own and staff can experience physical and verbal threats and attacks.</w:t>
      </w:r>
      <w:r w:rsidRPr="003A357D">
        <w:rPr>
          <w:rStyle w:val="FootnoteReference"/>
          <w:rFonts w:cstheme="minorHAnsi"/>
          <w:color w:val="000000"/>
          <w:shd w:val="clear" w:color="auto" w:fill="FFFFFF"/>
        </w:rPr>
        <w:footnoteReference w:id="48"/>
      </w:r>
      <w:r w:rsidRPr="003A357D">
        <w:rPr>
          <w:rFonts w:cstheme="minorHAnsi"/>
          <w:color w:val="000000"/>
          <w:shd w:val="clear" w:color="auto" w:fill="FFFFFF"/>
        </w:rPr>
        <w:t xml:space="preserve"> </w:t>
      </w:r>
    </w:p>
    <w:p w:rsidRPr="00F0092A" w:rsidR="00246EE9" w:rsidP="00F0092A" w:rsidRDefault="00246EE9" w14:paraId="246F8949" w14:textId="35C7077A">
      <w:pPr>
        <w:jc w:val="both"/>
        <w:rPr>
          <w:rFonts w:cstheme="minorHAnsi"/>
          <w:color w:val="000000"/>
          <w:shd w:val="clear" w:color="auto" w:fill="FFFFFF"/>
        </w:rPr>
      </w:pPr>
    </w:p>
    <w:p w:rsidRPr="00296935" w:rsidR="00283B96" w:rsidP="007D52FA" w:rsidRDefault="00246EE9" w14:paraId="653A58E6" w14:textId="771809AB">
      <w:pPr>
        <w:pStyle w:val="ListParagraph"/>
        <w:numPr>
          <w:ilvl w:val="0"/>
          <w:numId w:val="2"/>
        </w:numPr>
        <w:jc w:val="both"/>
        <w:rPr>
          <w:rFonts w:cstheme="minorHAnsi"/>
        </w:rPr>
      </w:pPr>
      <w:r w:rsidRPr="007D52FA">
        <w:rPr>
          <w:rFonts w:cstheme="minorHAnsi"/>
        </w:rPr>
        <w:t>In this section</w:t>
      </w:r>
      <w:r w:rsidRPr="00296935">
        <w:rPr>
          <w:rFonts w:cstheme="minorHAnsi"/>
        </w:rPr>
        <w:t xml:space="preserve">, </w:t>
      </w:r>
      <w:r w:rsidRPr="00296935" w:rsidR="00D817B4">
        <w:rPr>
          <w:rFonts w:cstheme="minorHAnsi"/>
        </w:rPr>
        <w:t xml:space="preserve">the </w:t>
      </w:r>
      <w:r w:rsidRPr="00296935">
        <w:rPr>
          <w:rFonts w:cstheme="minorHAnsi"/>
        </w:rPr>
        <w:t xml:space="preserve">causes of disagreement as identified in the high-profile cases and the literature will be grouped into three categories: internal </w:t>
      </w:r>
      <w:r w:rsidRPr="00296935" w:rsidR="00D817B4">
        <w:rPr>
          <w:rFonts w:cstheme="minorHAnsi"/>
        </w:rPr>
        <w:t>causes</w:t>
      </w:r>
      <w:r w:rsidRPr="00296935">
        <w:rPr>
          <w:rFonts w:cstheme="minorHAnsi"/>
        </w:rPr>
        <w:t xml:space="preserve">, relational </w:t>
      </w:r>
      <w:r w:rsidRPr="00296935" w:rsidR="00D817B4">
        <w:rPr>
          <w:rFonts w:cstheme="minorHAnsi"/>
        </w:rPr>
        <w:t>causes</w:t>
      </w:r>
      <w:r w:rsidRPr="00296935">
        <w:rPr>
          <w:rFonts w:cstheme="minorHAnsi"/>
        </w:rPr>
        <w:t xml:space="preserve"> and external </w:t>
      </w:r>
      <w:r w:rsidRPr="00296935" w:rsidR="00D817B4">
        <w:rPr>
          <w:rFonts w:cstheme="minorHAnsi"/>
        </w:rPr>
        <w:t>causes</w:t>
      </w:r>
      <w:r w:rsidRPr="00296935">
        <w:rPr>
          <w:rFonts w:cstheme="minorHAnsi"/>
        </w:rPr>
        <w:t>.</w:t>
      </w:r>
      <w:r w:rsidRPr="00296935" w:rsidR="005C2671">
        <w:rPr>
          <w:rFonts w:cstheme="minorHAnsi"/>
        </w:rPr>
        <w:t xml:space="preserve"> Internal causes</w:t>
      </w:r>
      <w:r w:rsidRPr="00296935" w:rsidR="009E0F72">
        <w:rPr>
          <w:rFonts w:cstheme="minorHAnsi"/>
        </w:rPr>
        <w:t xml:space="preserve"> may be the first to manifest in the trajectory of a d</w:t>
      </w:r>
      <w:r w:rsidRPr="00296935" w:rsidR="006F4449">
        <w:rPr>
          <w:rFonts w:cstheme="minorHAnsi"/>
        </w:rPr>
        <w:t>ispute and</w:t>
      </w:r>
      <w:r w:rsidRPr="00296935" w:rsidR="005C2671">
        <w:rPr>
          <w:rFonts w:cstheme="minorHAnsi"/>
        </w:rPr>
        <w:t xml:space="preserve"> </w:t>
      </w:r>
      <w:r w:rsidRPr="00296935" w:rsidR="00836C73">
        <w:rPr>
          <w:rFonts w:cstheme="minorHAnsi"/>
        </w:rPr>
        <w:t>include psychological responses</w:t>
      </w:r>
      <w:r w:rsidRPr="00296935" w:rsidR="00F8605A">
        <w:rPr>
          <w:rFonts w:cstheme="minorHAnsi"/>
        </w:rPr>
        <w:t>;</w:t>
      </w:r>
      <w:r w:rsidRPr="00296935" w:rsidR="004F1850">
        <w:rPr>
          <w:rFonts w:cstheme="minorHAnsi"/>
        </w:rPr>
        <w:t xml:space="preserve"> differences in views and </w:t>
      </w:r>
      <w:r w:rsidRPr="00296935" w:rsidR="00F8605A">
        <w:rPr>
          <w:rFonts w:cstheme="minorHAnsi"/>
        </w:rPr>
        <w:t>judgments about</w:t>
      </w:r>
      <w:r w:rsidRPr="00296935" w:rsidR="004F1850">
        <w:rPr>
          <w:rFonts w:cstheme="minorHAnsi"/>
        </w:rPr>
        <w:t xml:space="preserve"> about religious beliefs and mo</w:t>
      </w:r>
      <w:r w:rsidRPr="00296935" w:rsidR="00F8605A">
        <w:rPr>
          <w:rFonts w:cstheme="minorHAnsi"/>
        </w:rPr>
        <w:t xml:space="preserve">ral values; and </w:t>
      </w:r>
      <w:r w:rsidRPr="00296935" w:rsidR="001E3CFD">
        <w:rPr>
          <w:rFonts w:cstheme="minorHAnsi"/>
        </w:rPr>
        <w:t xml:space="preserve">expectations of medical treatment </w:t>
      </w:r>
      <w:r w:rsidRPr="00296935" w:rsidR="006F4449">
        <w:rPr>
          <w:rFonts w:cstheme="minorHAnsi"/>
        </w:rPr>
        <w:t>(</w:t>
      </w:r>
      <w:r w:rsidRPr="00296935" w:rsidR="001E3CFD">
        <w:rPr>
          <w:rFonts w:cstheme="minorHAnsi"/>
        </w:rPr>
        <w:t>and its potential limits).</w:t>
      </w:r>
      <w:r w:rsidRPr="00296935" w:rsidR="006F4449">
        <w:rPr>
          <w:rFonts w:cstheme="minorHAnsi"/>
        </w:rPr>
        <w:t xml:space="preserve"> H</w:t>
      </w:r>
      <w:r w:rsidRPr="00296935" w:rsidR="0013004E">
        <w:rPr>
          <w:rFonts w:cstheme="minorHAnsi"/>
        </w:rPr>
        <w:t>ow these psychological factors</w:t>
      </w:r>
      <w:r w:rsidRPr="00296935" w:rsidR="006F4449">
        <w:rPr>
          <w:rFonts w:cstheme="minorHAnsi"/>
        </w:rPr>
        <w:t xml:space="preserve"> then</w:t>
      </w:r>
      <w:r w:rsidRPr="00296935" w:rsidR="0013004E">
        <w:rPr>
          <w:rFonts w:cstheme="minorHAnsi"/>
        </w:rPr>
        <w:t xml:space="preserve"> play out in interpersonal relationships will be explored</w:t>
      </w:r>
      <w:r w:rsidRPr="00296935" w:rsidR="006F4449">
        <w:rPr>
          <w:rFonts w:cstheme="minorHAnsi"/>
        </w:rPr>
        <w:t xml:space="preserve"> in the relational causes section</w:t>
      </w:r>
      <w:r w:rsidRPr="00296935" w:rsidR="003353FC">
        <w:rPr>
          <w:rFonts w:cstheme="minorHAnsi"/>
        </w:rPr>
        <w:t xml:space="preserve">. </w:t>
      </w:r>
      <w:r w:rsidRPr="00296935" w:rsidR="00BB0705">
        <w:rPr>
          <w:rFonts w:cstheme="minorHAnsi"/>
        </w:rPr>
        <w:t xml:space="preserve"> Beginning with c</w:t>
      </w:r>
      <w:r w:rsidRPr="00296935" w:rsidR="003353FC">
        <w:rPr>
          <w:rFonts w:cstheme="minorHAnsi"/>
        </w:rPr>
        <w:t>ommunication between healthcare professionals and families, along with understanding of roles and p</w:t>
      </w:r>
      <w:r w:rsidRPr="00296935" w:rsidR="001A589E">
        <w:rPr>
          <w:rFonts w:cstheme="minorHAnsi"/>
        </w:rPr>
        <w:t>rocesses in the context of decision-making</w:t>
      </w:r>
      <w:r w:rsidRPr="00296935" w:rsidR="00BB0705">
        <w:rPr>
          <w:rFonts w:cstheme="minorHAnsi"/>
        </w:rPr>
        <w:t>, leading to</w:t>
      </w:r>
      <w:r w:rsidRPr="00296935" w:rsidR="00ED1D16">
        <w:rPr>
          <w:rFonts w:cstheme="minorHAnsi"/>
        </w:rPr>
        <w:t xml:space="preserve"> how </w:t>
      </w:r>
      <w:r w:rsidRPr="00296935" w:rsidR="00C824A2">
        <w:rPr>
          <w:rFonts w:cstheme="minorHAnsi"/>
        </w:rPr>
        <w:t>relationship breakdown may manifest itself in</w:t>
      </w:r>
      <w:r w:rsidRPr="00296935" w:rsidR="006676A9">
        <w:rPr>
          <w:rFonts w:cstheme="minorHAnsi"/>
        </w:rPr>
        <w:t xml:space="preserve"> </w:t>
      </w:r>
      <w:r w:rsidRPr="00296935" w:rsidR="000533B6">
        <w:rPr>
          <w:rFonts w:cstheme="minorHAnsi"/>
        </w:rPr>
        <w:t>behaviours</w:t>
      </w:r>
      <w:r w:rsidRPr="00296935" w:rsidR="002002B4">
        <w:rPr>
          <w:rFonts w:cstheme="minorHAnsi"/>
        </w:rPr>
        <w:t xml:space="preserve"> </w:t>
      </w:r>
      <w:r w:rsidRPr="00296935" w:rsidR="000533B6">
        <w:rPr>
          <w:rFonts w:cstheme="minorHAnsi"/>
        </w:rPr>
        <w:t>and</w:t>
      </w:r>
      <w:r w:rsidRPr="00296935" w:rsidR="00C824A2">
        <w:rPr>
          <w:rFonts w:cstheme="minorHAnsi"/>
        </w:rPr>
        <w:t xml:space="preserve"> interactions</w:t>
      </w:r>
      <w:r w:rsidRPr="00296935" w:rsidR="005912BF">
        <w:rPr>
          <w:rFonts w:cstheme="minorHAnsi"/>
        </w:rPr>
        <w:t xml:space="preserve">. </w:t>
      </w:r>
      <w:r w:rsidRPr="00296935" w:rsidR="004302C2">
        <w:rPr>
          <w:rFonts w:cstheme="minorHAnsi"/>
        </w:rPr>
        <w:t xml:space="preserve"> Finally, </w:t>
      </w:r>
      <w:r w:rsidRPr="00296935" w:rsidR="00DD5B09">
        <w:rPr>
          <w:rFonts w:cstheme="minorHAnsi"/>
        </w:rPr>
        <w:t>there are</w:t>
      </w:r>
      <w:r w:rsidRPr="00296935" w:rsidR="0021443E">
        <w:rPr>
          <w:rFonts w:cstheme="minorHAnsi"/>
        </w:rPr>
        <w:t xml:space="preserve"> </w:t>
      </w:r>
      <w:r w:rsidRPr="00296935" w:rsidR="004302C2">
        <w:rPr>
          <w:rFonts w:cstheme="minorHAnsi"/>
        </w:rPr>
        <w:t xml:space="preserve">causes </w:t>
      </w:r>
      <w:r w:rsidRPr="00296935" w:rsidR="0021443E">
        <w:rPr>
          <w:rFonts w:cstheme="minorHAnsi"/>
        </w:rPr>
        <w:t>that</w:t>
      </w:r>
      <w:r w:rsidRPr="00296935" w:rsidR="004302C2">
        <w:rPr>
          <w:rFonts w:cstheme="minorHAnsi"/>
        </w:rPr>
        <w:t xml:space="preserve"> are external to the individual</w:t>
      </w:r>
      <w:r w:rsidRPr="00296935" w:rsidR="00DD5B09">
        <w:rPr>
          <w:rFonts w:cstheme="minorHAnsi"/>
        </w:rPr>
        <w:t xml:space="preserve"> parties</w:t>
      </w:r>
      <w:r w:rsidRPr="00296935" w:rsidR="004302C2">
        <w:rPr>
          <w:rFonts w:cstheme="minorHAnsi"/>
        </w:rPr>
        <w:t xml:space="preserve"> or the </w:t>
      </w:r>
      <w:r w:rsidRPr="00296935" w:rsidR="008C15D0">
        <w:rPr>
          <w:rFonts w:cstheme="minorHAnsi"/>
        </w:rPr>
        <w:t>clinical and care relationship, and often appear later in the course of disagreement</w:t>
      </w:r>
      <w:r w:rsidRPr="00296935" w:rsidR="00DD5B09">
        <w:rPr>
          <w:rFonts w:cstheme="minorHAnsi"/>
        </w:rPr>
        <w:t xml:space="preserve">, </w:t>
      </w:r>
      <w:r w:rsidRPr="00296935" w:rsidR="0021443E">
        <w:rPr>
          <w:rFonts w:cstheme="minorHAnsi"/>
        </w:rPr>
        <w:t xml:space="preserve">including the internet </w:t>
      </w:r>
      <w:r w:rsidRPr="00296935" w:rsidR="004066D7">
        <w:rPr>
          <w:rFonts w:cstheme="minorHAnsi"/>
        </w:rPr>
        <w:t>as a source of alternative information; the role of social media; involvement of thir</w:t>
      </w:r>
      <w:r w:rsidRPr="00296935" w:rsidR="00BD6E52">
        <w:rPr>
          <w:rFonts w:cstheme="minorHAnsi"/>
        </w:rPr>
        <w:t>d-</w:t>
      </w:r>
      <w:r w:rsidRPr="00296935" w:rsidR="004066D7">
        <w:rPr>
          <w:rFonts w:cstheme="minorHAnsi"/>
        </w:rPr>
        <w:t>parties</w:t>
      </w:r>
      <w:r w:rsidRPr="00296935" w:rsidR="00415F01">
        <w:rPr>
          <w:rFonts w:cstheme="minorHAnsi"/>
        </w:rPr>
        <w:t xml:space="preserve">; and requests for </w:t>
      </w:r>
      <w:r w:rsidRPr="00296935" w:rsidR="009A536A">
        <w:rPr>
          <w:rFonts w:cstheme="minorHAnsi"/>
        </w:rPr>
        <w:t xml:space="preserve">alternative treatments and </w:t>
      </w:r>
      <w:r w:rsidRPr="00296935" w:rsidR="009171CF">
        <w:rPr>
          <w:rFonts w:cstheme="minorHAnsi"/>
        </w:rPr>
        <w:t>care abroad. Each will be considered in turn.</w:t>
      </w:r>
    </w:p>
    <w:p w:rsidRPr="009D7F76" w:rsidR="006B261B" w:rsidP="00215352" w:rsidRDefault="006B261B" w14:paraId="47E50622" w14:textId="382915B4">
      <w:pPr>
        <w:jc w:val="both"/>
        <w:rPr>
          <w:u w:val="single"/>
        </w:rPr>
      </w:pPr>
    </w:p>
    <w:p w:rsidRPr="009D7F76" w:rsidR="002C0D15" w:rsidP="00215352" w:rsidRDefault="006B261B" w14:paraId="51184371" w14:textId="6A82CF4B">
      <w:pPr>
        <w:jc w:val="both"/>
        <w:rPr>
          <w:color w:val="002060"/>
          <w:u w:val="single"/>
        </w:rPr>
      </w:pPr>
      <w:r w:rsidRPr="009D7F76">
        <w:rPr>
          <w:color w:val="002060"/>
          <w:u w:val="single"/>
        </w:rPr>
        <w:t>INTERNAL</w:t>
      </w:r>
      <w:r w:rsidRPr="009D7F76" w:rsidR="00345FD2">
        <w:rPr>
          <w:color w:val="002060"/>
          <w:u w:val="single"/>
        </w:rPr>
        <w:t xml:space="preserve"> </w:t>
      </w:r>
      <w:r w:rsidR="00D817B4">
        <w:rPr>
          <w:color w:val="002060"/>
          <w:u w:val="single"/>
        </w:rPr>
        <w:t>CAUSES</w:t>
      </w:r>
    </w:p>
    <w:p w:rsidRPr="007B3F91" w:rsidR="00553468" w:rsidP="007B3F91" w:rsidRDefault="00FA60A1" w14:paraId="11EEFD84" w14:textId="34122825">
      <w:pPr>
        <w:jc w:val="both"/>
        <w:rPr>
          <w:i/>
          <w:iCs/>
          <w:color w:val="002060"/>
          <w:sz w:val="24"/>
          <w:szCs w:val="24"/>
        </w:rPr>
      </w:pPr>
      <w:r>
        <w:rPr>
          <w:i/>
          <w:iCs/>
          <w:color w:val="002060"/>
          <w:sz w:val="24"/>
          <w:szCs w:val="24"/>
        </w:rPr>
        <w:t xml:space="preserve">i) </w:t>
      </w:r>
      <w:r w:rsidRPr="007B3F91" w:rsidR="003E5A4D">
        <w:rPr>
          <w:i/>
          <w:iCs/>
          <w:color w:val="002060"/>
          <w:sz w:val="24"/>
          <w:szCs w:val="24"/>
        </w:rPr>
        <w:t xml:space="preserve">Psychological </w:t>
      </w:r>
      <w:r w:rsidRPr="007B3F91" w:rsidR="00404294">
        <w:rPr>
          <w:i/>
          <w:iCs/>
          <w:color w:val="002060"/>
          <w:sz w:val="24"/>
          <w:szCs w:val="24"/>
        </w:rPr>
        <w:t>r</w:t>
      </w:r>
      <w:r w:rsidRPr="007B3F91" w:rsidR="003E5A4D">
        <w:rPr>
          <w:i/>
          <w:iCs/>
          <w:color w:val="002060"/>
          <w:sz w:val="24"/>
          <w:szCs w:val="24"/>
        </w:rPr>
        <w:t xml:space="preserve">esponses </w:t>
      </w:r>
    </w:p>
    <w:p w:rsidRPr="009D7F76" w:rsidR="008F4C2F" w:rsidP="00187EF1" w:rsidRDefault="00A5489E" w14:paraId="3C00AB0D" w14:textId="52227995">
      <w:pPr>
        <w:pStyle w:val="Normal0"/>
        <w:numPr>
          <w:ilvl w:val="0"/>
          <w:numId w:val="2"/>
        </w:numPr>
        <w:jc w:val="both"/>
        <w:rPr>
          <w:rFonts w:asciiTheme="minorHAnsi" w:hAnsiTheme="minorHAnsi" w:cstheme="minorHAnsi"/>
          <w:sz w:val="22"/>
          <w:szCs w:val="22"/>
        </w:rPr>
      </w:pPr>
      <w:r w:rsidRPr="00296935">
        <w:rPr>
          <w:rFonts w:asciiTheme="minorHAnsi" w:hAnsiTheme="minorHAnsi" w:cstheme="minorHAnsi"/>
          <w:sz w:val="22"/>
          <w:szCs w:val="22"/>
        </w:rPr>
        <w:t xml:space="preserve">Beginning with </w:t>
      </w:r>
      <w:r w:rsidRPr="00296935" w:rsidR="008F4C2F">
        <w:rPr>
          <w:rFonts w:asciiTheme="minorHAnsi" w:hAnsiTheme="minorHAnsi" w:cstheme="minorHAnsi"/>
          <w:sz w:val="22"/>
          <w:szCs w:val="22"/>
        </w:rPr>
        <w:t>parental psychological re</w:t>
      </w:r>
      <w:r w:rsidRPr="00296935" w:rsidR="00C83D38">
        <w:rPr>
          <w:rFonts w:asciiTheme="minorHAnsi" w:hAnsiTheme="minorHAnsi" w:cstheme="minorHAnsi"/>
          <w:sz w:val="22"/>
          <w:szCs w:val="22"/>
        </w:rPr>
        <w:t>sponses</w:t>
      </w:r>
      <w:r w:rsidRPr="00296935">
        <w:rPr>
          <w:rFonts w:asciiTheme="minorHAnsi" w:hAnsiTheme="minorHAnsi" w:cstheme="minorHAnsi"/>
          <w:sz w:val="22"/>
          <w:szCs w:val="22"/>
        </w:rPr>
        <w:t xml:space="preserve">, the literature reveals that denial, distress and </w:t>
      </w:r>
      <w:r w:rsidRPr="00296935" w:rsidR="000C13D6">
        <w:rPr>
          <w:rFonts w:asciiTheme="minorHAnsi" w:hAnsiTheme="minorHAnsi" w:cstheme="minorHAnsi"/>
          <w:sz w:val="22"/>
          <w:szCs w:val="22"/>
        </w:rPr>
        <w:t>dread are very</w:t>
      </w:r>
      <w:r w:rsidRPr="00296935" w:rsidR="00C83D38">
        <w:rPr>
          <w:rFonts w:asciiTheme="minorHAnsi" w:hAnsiTheme="minorHAnsi" w:cstheme="minorHAnsi"/>
          <w:sz w:val="22"/>
          <w:szCs w:val="22"/>
        </w:rPr>
        <w:t xml:space="preserve"> natural parental </w:t>
      </w:r>
      <w:r w:rsidRPr="00296935" w:rsidR="00AE62CA">
        <w:rPr>
          <w:rFonts w:asciiTheme="minorHAnsi" w:hAnsiTheme="minorHAnsi" w:cstheme="minorHAnsi"/>
          <w:sz w:val="22"/>
          <w:szCs w:val="22"/>
        </w:rPr>
        <w:t>reactions to being faced with a critically ill child in the PICU.</w:t>
      </w:r>
      <w:r w:rsidRPr="00296935" w:rsidR="008F4C2F">
        <w:rPr>
          <w:rStyle w:val="FootnoteReference"/>
          <w:rFonts w:asciiTheme="minorHAnsi" w:hAnsiTheme="minorHAnsi" w:cstheme="minorHAnsi"/>
          <w:sz w:val="22"/>
          <w:szCs w:val="22"/>
        </w:rPr>
        <w:footnoteReference w:id="49"/>
      </w:r>
      <w:r w:rsidRPr="00296935" w:rsidR="008F4C2F">
        <w:rPr>
          <w:rFonts w:asciiTheme="minorHAnsi" w:hAnsiTheme="minorHAnsi" w:cstheme="minorHAnsi"/>
          <w:sz w:val="22"/>
          <w:szCs w:val="22"/>
        </w:rPr>
        <w:t xml:space="preserve"> Archambault-Grenier et al in their Canadian study </w:t>
      </w:r>
      <w:r w:rsidRPr="00296935" w:rsidR="00D47F91">
        <w:rPr>
          <w:rFonts w:asciiTheme="minorHAnsi" w:hAnsiTheme="minorHAnsi" w:cstheme="minorHAnsi"/>
          <w:sz w:val="22"/>
          <w:szCs w:val="22"/>
        </w:rPr>
        <w:t>of</w:t>
      </w:r>
      <w:r w:rsidRPr="00296935" w:rsidR="008F4C2F">
        <w:rPr>
          <w:rFonts w:asciiTheme="minorHAnsi" w:hAnsiTheme="minorHAnsi" w:cstheme="minorHAnsi"/>
          <w:sz w:val="22"/>
          <w:szCs w:val="22"/>
        </w:rPr>
        <w:t xml:space="preserve"> how paediatric healthcare professionals experienced conflict found that parents’ fear of hastening death was a major contributing factor to disagreement.</w:t>
      </w:r>
      <w:r w:rsidRPr="00296935" w:rsidR="008F4C2F">
        <w:rPr>
          <w:rStyle w:val="FootnoteReference"/>
          <w:rFonts w:asciiTheme="minorHAnsi" w:hAnsiTheme="minorHAnsi" w:cstheme="minorHAnsi"/>
          <w:sz w:val="22"/>
          <w:szCs w:val="22"/>
        </w:rPr>
        <w:footnoteReference w:id="50"/>
      </w:r>
      <w:r w:rsidRPr="00296935" w:rsidR="008F4C2F">
        <w:rPr>
          <w:rFonts w:asciiTheme="minorHAnsi" w:hAnsiTheme="minorHAnsi" w:cstheme="minorHAnsi"/>
          <w:sz w:val="22"/>
          <w:szCs w:val="22"/>
        </w:rPr>
        <w:t xml:space="preserve"> This response was seen in the initial hearing in </w:t>
      </w:r>
      <w:r w:rsidRPr="00296935" w:rsidR="008F4C2F">
        <w:rPr>
          <w:rFonts w:asciiTheme="minorHAnsi" w:hAnsiTheme="minorHAnsi" w:cstheme="minorHAnsi"/>
          <w:i/>
          <w:iCs/>
          <w:sz w:val="22"/>
          <w:szCs w:val="22"/>
        </w:rPr>
        <w:t xml:space="preserve">Battersbee, </w:t>
      </w:r>
      <w:r w:rsidRPr="00296935" w:rsidR="008F4C2F">
        <w:rPr>
          <w:rFonts w:asciiTheme="minorHAnsi" w:hAnsiTheme="minorHAnsi" w:cstheme="minorHAnsi"/>
          <w:sz w:val="22"/>
          <w:szCs w:val="22"/>
        </w:rPr>
        <w:t xml:space="preserve">as Archie’s family refused to consent to the final step in the brain stem death test, purportedly due to concerns </w:t>
      </w:r>
      <w:r w:rsidRPr="00296935" w:rsidR="00633776">
        <w:rPr>
          <w:rFonts w:asciiTheme="minorHAnsi" w:hAnsiTheme="minorHAnsi" w:cstheme="minorHAnsi"/>
          <w:sz w:val="22"/>
          <w:szCs w:val="22"/>
        </w:rPr>
        <w:t xml:space="preserve">that </w:t>
      </w:r>
      <w:r w:rsidRPr="00296935" w:rsidR="008F4C2F">
        <w:rPr>
          <w:rFonts w:asciiTheme="minorHAnsi" w:hAnsiTheme="minorHAnsi" w:cstheme="minorHAnsi"/>
          <w:sz w:val="22"/>
          <w:szCs w:val="22"/>
        </w:rPr>
        <w:t xml:space="preserve">removing ventilation </w:t>
      </w:r>
      <w:r w:rsidRPr="00296935" w:rsidR="00633776">
        <w:rPr>
          <w:rFonts w:asciiTheme="minorHAnsi" w:hAnsiTheme="minorHAnsi" w:cstheme="minorHAnsi"/>
          <w:sz w:val="22"/>
          <w:szCs w:val="22"/>
        </w:rPr>
        <w:t>could</w:t>
      </w:r>
      <w:r w:rsidRPr="00296935" w:rsidR="008F4C2F">
        <w:rPr>
          <w:rFonts w:asciiTheme="minorHAnsi" w:hAnsiTheme="minorHAnsi" w:cstheme="minorHAnsi"/>
          <w:sz w:val="22"/>
          <w:szCs w:val="22"/>
        </w:rPr>
        <w:t xml:space="preserve"> lead to</w:t>
      </w:r>
      <w:r w:rsidRPr="00296935" w:rsidR="00633776">
        <w:rPr>
          <w:rFonts w:asciiTheme="minorHAnsi" w:hAnsiTheme="minorHAnsi" w:cstheme="minorHAnsi"/>
          <w:sz w:val="22"/>
          <w:szCs w:val="22"/>
        </w:rPr>
        <w:t xml:space="preserve"> risks of</w:t>
      </w:r>
      <w:r w:rsidRPr="00296935" w:rsidR="008F4C2F">
        <w:rPr>
          <w:rFonts w:asciiTheme="minorHAnsi" w:hAnsiTheme="minorHAnsi" w:cstheme="minorHAnsi"/>
          <w:sz w:val="22"/>
          <w:szCs w:val="22"/>
        </w:rPr>
        <w:t xml:space="preserve"> further brain injury.</w:t>
      </w:r>
      <w:r w:rsidRPr="00296935" w:rsidR="008F4C2F">
        <w:rPr>
          <w:rStyle w:val="FootnoteReference"/>
          <w:rFonts w:asciiTheme="minorHAnsi" w:hAnsiTheme="minorHAnsi" w:cstheme="minorHAnsi"/>
          <w:sz w:val="22"/>
          <w:szCs w:val="22"/>
        </w:rPr>
        <w:footnoteReference w:id="51"/>
      </w:r>
      <w:r w:rsidRPr="00296935" w:rsidR="008F4C2F">
        <w:rPr>
          <w:rFonts w:asciiTheme="minorHAnsi" w:hAnsiTheme="minorHAnsi" w:cstheme="minorHAnsi"/>
          <w:sz w:val="22"/>
          <w:szCs w:val="22"/>
        </w:rPr>
        <w:t xml:space="preserve"> </w:t>
      </w:r>
      <w:r w:rsidRPr="009D7F76" w:rsidR="008F4C2F">
        <w:rPr>
          <w:rFonts w:asciiTheme="minorHAnsi" w:hAnsiTheme="minorHAnsi" w:cstheme="minorHAnsi"/>
          <w:sz w:val="22"/>
          <w:szCs w:val="22"/>
        </w:rPr>
        <w:t>But in a later statement it was revealed that the family would not engage with mediation ‘because they were not prepared to have the brain stem tests done.’</w:t>
      </w:r>
      <w:r w:rsidRPr="009D7F76" w:rsidR="008F4C2F">
        <w:rPr>
          <w:rStyle w:val="FootnoteReference"/>
          <w:rFonts w:asciiTheme="minorHAnsi" w:hAnsiTheme="minorHAnsi" w:cstheme="minorHAnsi"/>
          <w:sz w:val="22"/>
          <w:szCs w:val="22"/>
        </w:rPr>
        <w:footnoteReference w:id="52"/>
      </w:r>
      <w:r w:rsidRPr="009D7F76" w:rsidR="008F4C2F">
        <w:rPr>
          <w:rFonts w:asciiTheme="minorHAnsi" w:hAnsiTheme="minorHAnsi" w:cstheme="minorHAnsi"/>
          <w:sz w:val="22"/>
          <w:szCs w:val="22"/>
        </w:rPr>
        <w:t xml:space="preserve"> This position, born</w:t>
      </w:r>
      <w:r w:rsidR="008B10C4">
        <w:rPr>
          <w:rFonts w:asciiTheme="minorHAnsi" w:hAnsiTheme="minorHAnsi" w:cstheme="minorHAnsi"/>
          <w:sz w:val="22"/>
          <w:szCs w:val="22"/>
        </w:rPr>
        <w:t>e</w:t>
      </w:r>
      <w:r w:rsidRPr="009D7F76" w:rsidR="008F4C2F">
        <w:rPr>
          <w:rFonts w:asciiTheme="minorHAnsi" w:hAnsiTheme="minorHAnsi" w:cstheme="minorHAnsi"/>
          <w:sz w:val="22"/>
          <w:szCs w:val="22"/>
        </w:rPr>
        <w:t xml:space="preserve"> at least in part, out of denial or dread, was a cause of disagreement with the clinicians who believed Archie was already brain dead.</w:t>
      </w:r>
      <w:r w:rsidRPr="009D7F76" w:rsidR="008F4C2F">
        <w:rPr>
          <w:rStyle w:val="FootnoteReference"/>
          <w:rFonts w:asciiTheme="minorHAnsi" w:hAnsiTheme="minorHAnsi" w:cstheme="minorHAnsi"/>
          <w:sz w:val="22"/>
          <w:szCs w:val="22"/>
        </w:rPr>
        <w:footnoteReference w:id="53"/>
      </w:r>
      <w:r w:rsidRPr="009D7F76" w:rsidR="008F4C2F">
        <w:rPr>
          <w:rFonts w:asciiTheme="minorHAnsi" w:hAnsiTheme="minorHAnsi" w:cstheme="minorHAnsi"/>
          <w:sz w:val="22"/>
          <w:szCs w:val="22"/>
        </w:rPr>
        <w:t xml:space="preserve"> The phenomenon was recognised by Arbuthnot J in both the first and second hearings where she concludes that, ‘I understand on a human level, the family’s deep anguish and concern for their young son (…) everyone can appreciate how much they must dread the results of this test’,</w:t>
      </w:r>
      <w:r w:rsidRPr="009D7F76" w:rsidR="008F4C2F">
        <w:rPr>
          <w:rStyle w:val="FootnoteReference"/>
          <w:rFonts w:asciiTheme="minorHAnsi" w:hAnsiTheme="minorHAnsi" w:cstheme="minorHAnsi"/>
          <w:sz w:val="22"/>
          <w:szCs w:val="22"/>
        </w:rPr>
        <w:footnoteReference w:id="54"/>
      </w:r>
      <w:r w:rsidRPr="009D7F76" w:rsidR="008F4C2F">
        <w:rPr>
          <w:rFonts w:asciiTheme="minorHAnsi" w:hAnsiTheme="minorHAnsi" w:cstheme="minorHAnsi"/>
          <w:sz w:val="22"/>
          <w:szCs w:val="22"/>
        </w:rPr>
        <w:t xml:space="preserve"> and‘(…)I have no doubt at all that their worst fear is that the clinicians are right, and that their much-loved son has lost his present and his future and that this period in which their lives have been in suspension is coming to an end’.</w:t>
      </w:r>
      <w:r w:rsidRPr="009D7F76" w:rsidR="008F4C2F">
        <w:rPr>
          <w:rStyle w:val="FootnoteReference"/>
          <w:rFonts w:asciiTheme="minorHAnsi" w:hAnsiTheme="minorHAnsi" w:cstheme="minorHAnsi"/>
          <w:sz w:val="22"/>
          <w:szCs w:val="22"/>
        </w:rPr>
        <w:footnoteReference w:id="55"/>
      </w:r>
    </w:p>
    <w:p w:rsidRPr="009D7F76" w:rsidR="0034385B" w:rsidP="0034385B" w:rsidRDefault="0034385B" w14:paraId="3BB40FD5" w14:textId="77777777">
      <w:pPr>
        <w:pStyle w:val="Normal0"/>
        <w:rPr>
          <w:rFonts w:asciiTheme="minorHAnsi" w:hAnsiTheme="minorHAnsi" w:cstheme="minorHAnsi"/>
          <w:sz w:val="22"/>
          <w:szCs w:val="22"/>
        </w:rPr>
      </w:pPr>
    </w:p>
    <w:p w:rsidRPr="0013042E" w:rsidR="009C6255" w:rsidP="00187EF1" w:rsidRDefault="009F4025" w14:paraId="217C2876" w14:textId="1E0FD737">
      <w:pPr>
        <w:pStyle w:val="Normal0"/>
        <w:numPr>
          <w:ilvl w:val="0"/>
          <w:numId w:val="2"/>
        </w:numPr>
        <w:jc w:val="both"/>
        <w:rPr>
          <w:rFonts w:asciiTheme="minorHAnsi" w:hAnsiTheme="minorHAnsi" w:cstheme="minorHAnsi"/>
          <w:sz w:val="22"/>
          <w:szCs w:val="22"/>
        </w:rPr>
      </w:pPr>
      <w:r w:rsidRPr="002C18FA">
        <w:rPr>
          <w:rFonts w:asciiTheme="minorHAnsi" w:hAnsiTheme="minorHAnsi" w:cstheme="minorHAnsi"/>
          <w:sz w:val="22"/>
          <w:szCs w:val="22"/>
        </w:rPr>
        <w:t xml:space="preserve">These initial responses may </w:t>
      </w:r>
      <w:r w:rsidRPr="002C18FA" w:rsidR="00B5345B">
        <w:rPr>
          <w:rFonts w:asciiTheme="minorHAnsi" w:hAnsiTheme="minorHAnsi" w:cstheme="minorHAnsi"/>
          <w:sz w:val="22"/>
          <w:szCs w:val="22"/>
        </w:rPr>
        <w:t>morph into expressions of hope and the desire to wait for a miracle</w:t>
      </w:r>
      <w:r w:rsidRPr="002C18FA" w:rsidR="00670426">
        <w:rPr>
          <w:rFonts w:asciiTheme="minorHAnsi" w:hAnsiTheme="minorHAnsi" w:cstheme="minorHAnsi"/>
          <w:sz w:val="22"/>
          <w:szCs w:val="22"/>
        </w:rPr>
        <w:t>, often fuelled by “heroic narratives” of parental sacrifice and linked to conceptions of the “good parent” discussed in section i</w:t>
      </w:r>
      <w:r w:rsidR="00F2174C">
        <w:rPr>
          <w:rFonts w:asciiTheme="minorHAnsi" w:hAnsiTheme="minorHAnsi" w:cstheme="minorHAnsi"/>
          <w:sz w:val="22"/>
          <w:szCs w:val="22"/>
        </w:rPr>
        <w:t>ii</w:t>
      </w:r>
      <w:r w:rsidRPr="002C18FA" w:rsidR="00670426">
        <w:rPr>
          <w:rFonts w:asciiTheme="minorHAnsi" w:hAnsiTheme="minorHAnsi" w:cstheme="minorHAnsi"/>
          <w:sz w:val="22"/>
          <w:szCs w:val="22"/>
        </w:rPr>
        <w:t xml:space="preserve">) below. </w:t>
      </w:r>
      <w:r w:rsidRPr="002C18FA" w:rsidR="00B5345B">
        <w:rPr>
          <w:rFonts w:asciiTheme="minorHAnsi" w:hAnsiTheme="minorHAnsi" w:cstheme="minorHAnsi"/>
          <w:sz w:val="22"/>
          <w:szCs w:val="22"/>
        </w:rPr>
        <w:t xml:space="preserve"> Again</w:t>
      </w:r>
      <w:r w:rsidRPr="002C18FA" w:rsidR="00472DDC">
        <w:rPr>
          <w:rFonts w:asciiTheme="minorHAnsi" w:hAnsiTheme="minorHAnsi" w:cstheme="minorHAnsi"/>
          <w:sz w:val="22"/>
          <w:szCs w:val="22"/>
        </w:rPr>
        <w:t>,</w:t>
      </w:r>
      <w:r w:rsidRPr="002C18FA" w:rsidR="00B5345B">
        <w:rPr>
          <w:rFonts w:asciiTheme="minorHAnsi" w:hAnsiTheme="minorHAnsi" w:cstheme="minorHAnsi"/>
          <w:sz w:val="22"/>
          <w:szCs w:val="22"/>
        </w:rPr>
        <w:t xml:space="preserve"> in </w:t>
      </w:r>
      <w:r w:rsidRPr="002C18FA" w:rsidR="00B5345B">
        <w:rPr>
          <w:rFonts w:asciiTheme="minorHAnsi" w:hAnsiTheme="minorHAnsi" w:cstheme="minorHAnsi"/>
          <w:i/>
          <w:iCs/>
          <w:sz w:val="22"/>
          <w:szCs w:val="22"/>
        </w:rPr>
        <w:t>Battersbee</w:t>
      </w:r>
      <w:r w:rsidRPr="002C18FA" w:rsidR="00B5345B">
        <w:rPr>
          <w:rFonts w:asciiTheme="minorHAnsi" w:hAnsiTheme="minorHAnsi" w:cstheme="minorHAnsi"/>
          <w:sz w:val="22"/>
          <w:szCs w:val="22"/>
        </w:rPr>
        <w:t>,</w:t>
      </w:r>
      <w:r w:rsidRPr="002C18FA" w:rsidR="00DD2697">
        <w:rPr>
          <w:rFonts w:asciiTheme="minorHAnsi" w:hAnsiTheme="minorHAnsi" w:cstheme="minorHAnsi"/>
          <w:sz w:val="22"/>
          <w:szCs w:val="22"/>
        </w:rPr>
        <w:t xml:space="preserve"> </w:t>
      </w:r>
      <w:r w:rsidRPr="002C18FA" w:rsidR="00472DDC">
        <w:rPr>
          <w:rFonts w:asciiTheme="minorHAnsi" w:hAnsiTheme="minorHAnsi" w:cstheme="minorHAnsi"/>
          <w:sz w:val="22"/>
          <w:szCs w:val="22"/>
        </w:rPr>
        <w:t>Archie’s mother ‘</w:t>
      </w:r>
      <w:r w:rsidRPr="002C18FA" w:rsidR="00653429">
        <w:rPr>
          <w:rFonts w:asciiTheme="minorHAnsi" w:hAnsiTheme="minorHAnsi" w:cstheme="minorHAnsi"/>
          <w:sz w:val="22"/>
          <w:szCs w:val="22"/>
        </w:rPr>
        <w:t>wished to care for Archie whatever the future held</w:t>
      </w:r>
      <w:r w:rsidRPr="002C18FA" w:rsidR="00472DDC">
        <w:rPr>
          <w:rFonts w:asciiTheme="minorHAnsi" w:hAnsiTheme="minorHAnsi" w:cstheme="minorHAnsi"/>
          <w:sz w:val="22"/>
          <w:szCs w:val="22"/>
        </w:rPr>
        <w:t>’,</w:t>
      </w:r>
      <w:r w:rsidRPr="002C18FA" w:rsidR="00472DDC">
        <w:rPr>
          <w:rStyle w:val="FootnoteReference"/>
          <w:rFonts w:asciiTheme="minorHAnsi" w:hAnsiTheme="minorHAnsi" w:cstheme="minorHAnsi"/>
          <w:sz w:val="22"/>
          <w:szCs w:val="22"/>
        </w:rPr>
        <w:footnoteReference w:id="56"/>
      </w:r>
      <w:r w:rsidRPr="005B6ADA" w:rsidR="005B6ADA">
        <w:rPr>
          <w:rFonts w:asciiTheme="minorHAnsi" w:hAnsiTheme="minorHAnsi" w:cstheme="minorHAnsi"/>
          <w:color w:val="FF0000"/>
          <w:sz w:val="22"/>
          <w:szCs w:val="22"/>
        </w:rPr>
        <w:t xml:space="preserve"> </w:t>
      </w:r>
      <w:r w:rsidRPr="00EA0903" w:rsidR="005B6ADA">
        <w:rPr>
          <w:rFonts w:asciiTheme="minorHAnsi" w:hAnsiTheme="minorHAnsi" w:cstheme="minorHAnsi"/>
          <w:sz w:val="22"/>
          <w:szCs w:val="22"/>
        </w:rPr>
        <w:t xml:space="preserve">and </w:t>
      </w:r>
      <w:r w:rsidRPr="00EA0903" w:rsidR="00691ADF">
        <w:rPr>
          <w:rFonts w:asciiTheme="minorHAnsi" w:hAnsiTheme="minorHAnsi" w:cstheme="minorHAnsi"/>
          <w:sz w:val="22"/>
          <w:szCs w:val="22"/>
        </w:rPr>
        <w:t>‘hoped that he may make a recovery of some kind</w:t>
      </w:r>
      <w:r w:rsidRPr="00EA0903" w:rsidR="00180683">
        <w:rPr>
          <w:rFonts w:asciiTheme="minorHAnsi" w:hAnsiTheme="minorHAnsi" w:cstheme="minorHAnsi"/>
          <w:sz w:val="22"/>
          <w:szCs w:val="22"/>
        </w:rPr>
        <w:t xml:space="preserve"> (…) </w:t>
      </w:r>
      <w:r w:rsidRPr="00EA0903" w:rsidR="00691ADF">
        <w:rPr>
          <w:rFonts w:asciiTheme="minorHAnsi" w:hAnsiTheme="minorHAnsi" w:cstheme="minorHAnsi"/>
          <w:sz w:val="22"/>
          <w:szCs w:val="22"/>
        </w:rPr>
        <w:t xml:space="preserve">but accepted he may be severely disabled or in a severely vegetative state but this was </w:t>
      </w:r>
      <w:r w:rsidRPr="00EA0903" w:rsidR="00F356B6">
        <w:rPr>
          <w:rFonts w:asciiTheme="minorHAnsi" w:hAnsiTheme="minorHAnsi" w:cstheme="minorHAnsi"/>
          <w:sz w:val="22"/>
          <w:szCs w:val="22"/>
        </w:rPr>
        <w:t>‘</w:t>
      </w:r>
      <w:r w:rsidRPr="00EA0903" w:rsidR="00691ADF">
        <w:rPr>
          <w:rFonts w:asciiTheme="minorHAnsi" w:hAnsiTheme="minorHAnsi" w:cstheme="minorHAnsi"/>
          <w:sz w:val="22"/>
          <w:szCs w:val="22"/>
        </w:rPr>
        <w:t>better than nothing</w:t>
      </w:r>
      <w:r w:rsidRPr="00EA0903" w:rsidR="00F356B6">
        <w:rPr>
          <w:rFonts w:asciiTheme="minorHAnsi" w:hAnsiTheme="minorHAnsi" w:cstheme="minorHAnsi"/>
          <w:sz w:val="22"/>
          <w:szCs w:val="22"/>
        </w:rPr>
        <w:t>’</w:t>
      </w:r>
      <w:r w:rsidRPr="00EA0903" w:rsidR="00796D57">
        <w:rPr>
          <w:rFonts w:asciiTheme="minorHAnsi" w:hAnsiTheme="minorHAnsi" w:cstheme="minorHAnsi"/>
          <w:sz w:val="22"/>
          <w:szCs w:val="22"/>
        </w:rPr>
        <w:t>.</w:t>
      </w:r>
      <w:r w:rsidRPr="00EA0903" w:rsidR="00F35E0E">
        <w:rPr>
          <w:rStyle w:val="FootnoteReference"/>
          <w:rFonts w:asciiTheme="minorHAnsi" w:hAnsiTheme="minorHAnsi" w:cstheme="minorHAnsi"/>
          <w:sz w:val="22"/>
          <w:szCs w:val="22"/>
        </w:rPr>
        <w:footnoteReference w:id="57"/>
      </w:r>
      <w:r w:rsidRPr="00EA0903" w:rsidR="00D307ED">
        <w:rPr>
          <w:rFonts w:asciiTheme="minorHAnsi" w:hAnsiTheme="minorHAnsi" w:cstheme="minorHAnsi"/>
          <w:sz w:val="22"/>
          <w:szCs w:val="22"/>
        </w:rPr>
        <w:t xml:space="preserve"> </w:t>
      </w:r>
      <w:r w:rsidRPr="00EA0903" w:rsidR="00796D57">
        <w:rPr>
          <w:rFonts w:asciiTheme="minorHAnsi" w:hAnsiTheme="minorHAnsi" w:cstheme="minorHAnsi"/>
          <w:sz w:val="22"/>
          <w:szCs w:val="22"/>
        </w:rPr>
        <w:t>She</w:t>
      </w:r>
      <w:r w:rsidRPr="00EA0903" w:rsidR="00D307ED">
        <w:rPr>
          <w:rFonts w:asciiTheme="minorHAnsi" w:hAnsiTheme="minorHAnsi" w:cstheme="minorHAnsi"/>
          <w:sz w:val="22"/>
          <w:szCs w:val="22"/>
        </w:rPr>
        <w:t xml:space="preserve"> was ‘</w:t>
      </w:r>
      <w:r w:rsidRPr="00EA0903" w:rsidR="00691ADF">
        <w:rPr>
          <w:rFonts w:asciiTheme="minorHAnsi" w:hAnsiTheme="minorHAnsi" w:cstheme="minorHAnsi"/>
          <w:sz w:val="22"/>
          <w:szCs w:val="22"/>
        </w:rPr>
        <w:t>hoping and praying for a miracle’.</w:t>
      </w:r>
      <w:r w:rsidRPr="00EA0903" w:rsidR="00691ADF">
        <w:rPr>
          <w:rStyle w:val="FootnoteReference"/>
          <w:rFonts w:asciiTheme="minorHAnsi" w:hAnsiTheme="minorHAnsi" w:cstheme="minorHAnsi"/>
          <w:sz w:val="22"/>
          <w:szCs w:val="22"/>
        </w:rPr>
        <w:footnoteReference w:id="58"/>
      </w:r>
      <w:r w:rsidRPr="00EA0903" w:rsidR="00DF33A7">
        <w:rPr>
          <w:rFonts w:asciiTheme="minorHAnsi" w:hAnsiTheme="minorHAnsi" w:cstheme="minorHAnsi"/>
          <w:sz w:val="22"/>
          <w:szCs w:val="22"/>
        </w:rPr>
        <w:t xml:space="preserve"> </w:t>
      </w:r>
      <w:r w:rsidRPr="00EA0903" w:rsidR="00E147C0">
        <w:rPr>
          <w:rFonts w:asciiTheme="minorHAnsi" w:hAnsiTheme="minorHAnsi" w:cstheme="minorHAnsi"/>
          <w:sz w:val="22"/>
          <w:szCs w:val="22"/>
        </w:rPr>
        <w:t>This can cause disagreement with healthcare professionals who may feel that pa</w:t>
      </w:r>
      <w:r w:rsidRPr="00EA0903" w:rsidR="00647F9D">
        <w:rPr>
          <w:rFonts w:asciiTheme="minorHAnsi" w:hAnsiTheme="minorHAnsi" w:cstheme="minorHAnsi"/>
          <w:sz w:val="22"/>
          <w:szCs w:val="22"/>
        </w:rPr>
        <w:t>rents are not accepting “reality”</w:t>
      </w:r>
      <w:r w:rsidRPr="00EA0903" w:rsidR="00A21901">
        <w:rPr>
          <w:rFonts w:asciiTheme="minorHAnsi" w:hAnsiTheme="minorHAnsi" w:cstheme="minorHAnsi"/>
          <w:sz w:val="22"/>
          <w:szCs w:val="22"/>
        </w:rPr>
        <w:t xml:space="preserve"> and so engage in concerted efforts to </w:t>
      </w:r>
      <w:r w:rsidRPr="00EA0903" w:rsidR="00F2581C">
        <w:rPr>
          <w:rFonts w:asciiTheme="minorHAnsi" w:hAnsiTheme="minorHAnsi" w:cstheme="minorHAnsi"/>
          <w:sz w:val="22"/>
          <w:szCs w:val="22"/>
        </w:rPr>
        <w:t xml:space="preserve">convince them of the </w:t>
      </w:r>
      <w:r w:rsidRPr="00EA0903" w:rsidR="006B08BC">
        <w:rPr>
          <w:rFonts w:asciiTheme="minorHAnsi" w:hAnsiTheme="minorHAnsi" w:cstheme="minorHAnsi"/>
          <w:sz w:val="22"/>
          <w:szCs w:val="22"/>
        </w:rPr>
        <w:t>“truth”.</w:t>
      </w:r>
      <w:r w:rsidRPr="00EA0903" w:rsidR="006B08BC">
        <w:rPr>
          <w:rStyle w:val="FootnoteReference"/>
          <w:rFonts w:asciiTheme="minorHAnsi" w:hAnsiTheme="minorHAnsi" w:cstheme="minorHAnsi"/>
          <w:sz w:val="22"/>
          <w:szCs w:val="22"/>
        </w:rPr>
        <w:footnoteReference w:id="59"/>
      </w:r>
      <w:r w:rsidRPr="00EA0903" w:rsidR="00647F9D">
        <w:rPr>
          <w:rFonts w:asciiTheme="minorHAnsi" w:hAnsiTheme="minorHAnsi" w:cstheme="minorHAnsi"/>
          <w:sz w:val="22"/>
          <w:szCs w:val="22"/>
        </w:rPr>
        <w:t xml:space="preserve"> </w:t>
      </w:r>
      <w:r w:rsidRPr="00EA0903" w:rsidR="00C518C3">
        <w:rPr>
          <w:rFonts w:asciiTheme="minorHAnsi" w:hAnsiTheme="minorHAnsi" w:cstheme="minorHAnsi"/>
          <w:sz w:val="22"/>
          <w:szCs w:val="22"/>
        </w:rPr>
        <w:t>C</w:t>
      </w:r>
      <w:r w:rsidRPr="00EA0903" w:rsidR="002E5E94">
        <w:rPr>
          <w:rFonts w:asciiTheme="minorHAnsi" w:hAnsiTheme="minorHAnsi" w:cstheme="minorHAnsi"/>
          <w:sz w:val="22"/>
          <w:szCs w:val="22"/>
        </w:rPr>
        <w:t>a</w:t>
      </w:r>
      <w:r w:rsidRPr="00EA0903" w:rsidR="00C518C3">
        <w:rPr>
          <w:rFonts w:asciiTheme="minorHAnsi" w:hAnsiTheme="minorHAnsi" w:cstheme="minorHAnsi"/>
          <w:sz w:val="22"/>
          <w:szCs w:val="22"/>
        </w:rPr>
        <w:t>ruso Brown</w:t>
      </w:r>
      <w:r w:rsidRPr="00EA0903" w:rsidR="00E514ED">
        <w:rPr>
          <w:rFonts w:asciiTheme="minorHAnsi" w:hAnsiTheme="minorHAnsi" w:cstheme="minorHAnsi"/>
          <w:sz w:val="22"/>
          <w:szCs w:val="22"/>
        </w:rPr>
        <w:t xml:space="preserve"> </w:t>
      </w:r>
      <w:r w:rsidRPr="00EA0903" w:rsidR="006161A8">
        <w:rPr>
          <w:rFonts w:asciiTheme="minorHAnsi" w:hAnsiTheme="minorHAnsi" w:cstheme="minorHAnsi"/>
          <w:sz w:val="22"/>
          <w:szCs w:val="22"/>
        </w:rPr>
        <w:t>report</w:t>
      </w:r>
      <w:r w:rsidRPr="00EA0903" w:rsidR="00E514ED">
        <w:rPr>
          <w:rFonts w:asciiTheme="minorHAnsi" w:hAnsiTheme="minorHAnsi" w:cstheme="minorHAnsi"/>
          <w:sz w:val="22"/>
          <w:szCs w:val="22"/>
        </w:rPr>
        <w:t>s</w:t>
      </w:r>
      <w:r w:rsidRPr="00EA0903" w:rsidR="006161A8">
        <w:rPr>
          <w:rFonts w:asciiTheme="minorHAnsi" w:hAnsiTheme="minorHAnsi" w:cstheme="minorHAnsi"/>
          <w:sz w:val="22"/>
          <w:szCs w:val="22"/>
        </w:rPr>
        <w:t xml:space="preserve"> that clinicians fear both “taking away hope” as well as “false hope”</w:t>
      </w:r>
      <w:r w:rsidRPr="00EA0903" w:rsidR="00C128EB">
        <w:rPr>
          <w:rFonts w:asciiTheme="minorHAnsi" w:hAnsiTheme="minorHAnsi" w:cstheme="minorHAnsi"/>
          <w:sz w:val="22"/>
          <w:szCs w:val="22"/>
        </w:rPr>
        <w:t>.</w:t>
      </w:r>
      <w:r w:rsidRPr="00EA0903" w:rsidR="00C128EB">
        <w:rPr>
          <w:rStyle w:val="FootnoteReference"/>
          <w:rFonts w:asciiTheme="minorHAnsi" w:hAnsiTheme="minorHAnsi" w:cstheme="minorHAnsi"/>
          <w:sz w:val="22"/>
          <w:szCs w:val="22"/>
        </w:rPr>
        <w:footnoteReference w:id="60"/>
      </w:r>
      <w:r w:rsidRPr="00EA0903" w:rsidR="00A755C1">
        <w:rPr>
          <w:rFonts w:asciiTheme="minorHAnsi" w:hAnsiTheme="minorHAnsi" w:cstheme="minorHAnsi"/>
          <w:sz w:val="22"/>
          <w:szCs w:val="22"/>
        </w:rPr>
        <w:t xml:space="preserve"> </w:t>
      </w:r>
      <w:r w:rsidRPr="00EA0903" w:rsidR="003C4899">
        <w:rPr>
          <w:rFonts w:asciiTheme="minorHAnsi" w:hAnsiTheme="minorHAnsi" w:cstheme="minorHAnsi"/>
          <w:sz w:val="22"/>
          <w:szCs w:val="22"/>
        </w:rPr>
        <w:t xml:space="preserve">Katz et al explore </w:t>
      </w:r>
      <w:r w:rsidRPr="00EA0903" w:rsidR="009067A4">
        <w:rPr>
          <w:rFonts w:asciiTheme="minorHAnsi" w:hAnsiTheme="minorHAnsi" w:cstheme="minorHAnsi"/>
          <w:sz w:val="22"/>
          <w:szCs w:val="22"/>
        </w:rPr>
        <w:t xml:space="preserve">dissonance in </w:t>
      </w:r>
      <w:r w:rsidRPr="00EA0903" w:rsidR="00AF71C3">
        <w:rPr>
          <w:rFonts w:asciiTheme="minorHAnsi" w:hAnsiTheme="minorHAnsi" w:cstheme="minorHAnsi"/>
          <w:sz w:val="22"/>
          <w:szCs w:val="22"/>
        </w:rPr>
        <w:t>understanding</w:t>
      </w:r>
      <w:r w:rsidRPr="00EA0903" w:rsidR="009428BD">
        <w:rPr>
          <w:rFonts w:asciiTheme="minorHAnsi" w:hAnsiTheme="minorHAnsi" w:cstheme="minorHAnsi"/>
          <w:sz w:val="22"/>
          <w:szCs w:val="22"/>
        </w:rPr>
        <w:t xml:space="preserve">, wishes and plans </w:t>
      </w:r>
      <w:r w:rsidRPr="00EA0903" w:rsidR="009067A4">
        <w:rPr>
          <w:rFonts w:asciiTheme="minorHAnsi" w:hAnsiTheme="minorHAnsi" w:cstheme="minorHAnsi"/>
          <w:sz w:val="22"/>
          <w:szCs w:val="22"/>
        </w:rPr>
        <w:t>between parents and clinicians</w:t>
      </w:r>
      <w:r w:rsidRPr="00EA0903" w:rsidR="009073A7">
        <w:rPr>
          <w:rFonts w:asciiTheme="minorHAnsi" w:hAnsiTheme="minorHAnsi" w:cstheme="minorHAnsi"/>
          <w:sz w:val="22"/>
          <w:szCs w:val="22"/>
        </w:rPr>
        <w:t>.</w:t>
      </w:r>
      <w:r w:rsidRPr="00EA0903" w:rsidR="009067A4">
        <w:rPr>
          <w:rFonts w:asciiTheme="minorHAnsi" w:hAnsiTheme="minorHAnsi" w:cstheme="minorHAnsi"/>
          <w:sz w:val="22"/>
          <w:szCs w:val="22"/>
        </w:rPr>
        <w:t xml:space="preserve"> </w:t>
      </w:r>
      <w:r w:rsidRPr="00EA0903" w:rsidR="009073A7">
        <w:rPr>
          <w:rFonts w:asciiTheme="minorHAnsi" w:hAnsiTheme="minorHAnsi" w:cstheme="minorHAnsi"/>
          <w:sz w:val="22"/>
          <w:szCs w:val="22"/>
        </w:rPr>
        <w:t xml:space="preserve">They </w:t>
      </w:r>
      <w:r w:rsidRPr="00EA0903" w:rsidR="009067A4">
        <w:rPr>
          <w:rFonts w:asciiTheme="minorHAnsi" w:hAnsiTheme="minorHAnsi" w:cstheme="minorHAnsi"/>
          <w:sz w:val="22"/>
          <w:szCs w:val="22"/>
        </w:rPr>
        <w:t>suggest that</w:t>
      </w:r>
      <w:r w:rsidRPr="00EA0903" w:rsidR="009428BD">
        <w:rPr>
          <w:rFonts w:asciiTheme="minorHAnsi" w:hAnsiTheme="minorHAnsi" w:cstheme="minorHAnsi"/>
          <w:sz w:val="22"/>
          <w:szCs w:val="22"/>
        </w:rPr>
        <w:t xml:space="preserve"> this arises </w:t>
      </w:r>
      <w:r w:rsidRPr="00EA0903" w:rsidR="008F4914">
        <w:rPr>
          <w:rFonts w:asciiTheme="minorHAnsi" w:hAnsiTheme="minorHAnsi" w:cstheme="minorHAnsi"/>
          <w:sz w:val="22"/>
          <w:szCs w:val="22"/>
        </w:rPr>
        <w:t>because clinicians do not apprec</w:t>
      </w:r>
      <w:r w:rsidRPr="00EA0903" w:rsidR="00AC2BE8">
        <w:rPr>
          <w:rFonts w:asciiTheme="minorHAnsi" w:hAnsiTheme="minorHAnsi" w:cstheme="minorHAnsi"/>
          <w:sz w:val="22"/>
          <w:szCs w:val="22"/>
        </w:rPr>
        <w:t xml:space="preserve">iate the </w:t>
      </w:r>
      <w:r w:rsidRPr="00EA0903" w:rsidR="00FB2152">
        <w:rPr>
          <w:rFonts w:asciiTheme="minorHAnsi" w:hAnsiTheme="minorHAnsi" w:cstheme="minorHAnsi"/>
          <w:sz w:val="22"/>
          <w:szCs w:val="22"/>
        </w:rPr>
        <w:t>role that hope and “good parent” narratives have</w:t>
      </w:r>
      <w:r w:rsidRPr="00EA0903" w:rsidR="00AF7717">
        <w:rPr>
          <w:rFonts w:asciiTheme="minorHAnsi" w:hAnsiTheme="minorHAnsi" w:cstheme="minorHAnsi"/>
          <w:sz w:val="22"/>
          <w:szCs w:val="22"/>
        </w:rPr>
        <w:t xml:space="preserve"> in helping parents find a ‘tolerable way of living’, and</w:t>
      </w:r>
      <w:r w:rsidRPr="00EA0903" w:rsidR="00774823">
        <w:rPr>
          <w:rFonts w:asciiTheme="minorHAnsi" w:hAnsiTheme="minorHAnsi" w:cstheme="minorHAnsi"/>
          <w:sz w:val="22"/>
          <w:szCs w:val="22"/>
        </w:rPr>
        <w:t xml:space="preserve"> thus</w:t>
      </w:r>
      <w:r w:rsidRPr="00EA0903" w:rsidR="00AF7717">
        <w:rPr>
          <w:rFonts w:asciiTheme="minorHAnsi" w:hAnsiTheme="minorHAnsi" w:cstheme="minorHAnsi"/>
          <w:sz w:val="22"/>
          <w:szCs w:val="22"/>
        </w:rPr>
        <w:t xml:space="preserve"> seek to</w:t>
      </w:r>
      <w:r w:rsidRPr="00EA0903" w:rsidR="004D75BB">
        <w:rPr>
          <w:rFonts w:asciiTheme="minorHAnsi" w:hAnsiTheme="minorHAnsi" w:cstheme="minorHAnsi"/>
          <w:sz w:val="22"/>
          <w:szCs w:val="22"/>
        </w:rPr>
        <w:t xml:space="preserve"> continuously</w:t>
      </w:r>
      <w:r w:rsidRPr="00EA0903" w:rsidR="00AF7717">
        <w:rPr>
          <w:rFonts w:asciiTheme="minorHAnsi" w:hAnsiTheme="minorHAnsi" w:cstheme="minorHAnsi"/>
          <w:sz w:val="22"/>
          <w:szCs w:val="22"/>
        </w:rPr>
        <w:t xml:space="preserve"> </w:t>
      </w:r>
      <w:r w:rsidRPr="00EA0903" w:rsidR="004D75BB">
        <w:rPr>
          <w:rFonts w:asciiTheme="minorHAnsi" w:hAnsiTheme="minorHAnsi" w:cstheme="minorHAnsi"/>
          <w:sz w:val="22"/>
          <w:szCs w:val="22"/>
        </w:rPr>
        <w:t xml:space="preserve">impose prognostic “reality” </w:t>
      </w:r>
      <w:r w:rsidRPr="00EA0903" w:rsidR="009073A7">
        <w:rPr>
          <w:rFonts w:asciiTheme="minorHAnsi" w:hAnsiTheme="minorHAnsi" w:cstheme="minorHAnsi"/>
          <w:sz w:val="22"/>
          <w:szCs w:val="22"/>
        </w:rPr>
        <w:t>upon</w:t>
      </w:r>
      <w:r w:rsidRPr="00EA0903" w:rsidR="00774823">
        <w:rPr>
          <w:rFonts w:asciiTheme="minorHAnsi" w:hAnsiTheme="minorHAnsi" w:cstheme="minorHAnsi"/>
          <w:sz w:val="22"/>
          <w:szCs w:val="22"/>
        </w:rPr>
        <w:t xml:space="preserve"> parents in order to prepare them and facilitate informed decision-</w:t>
      </w:r>
      <w:r w:rsidRPr="00EA0903" w:rsidR="00DE0A25">
        <w:rPr>
          <w:rFonts w:asciiTheme="minorHAnsi" w:hAnsiTheme="minorHAnsi" w:cstheme="minorHAnsi"/>
          <w:sz w:val="22"/>
          <w:szCs w:val="22"/>
        </w:rPr>
        <w:t>ma</w:t>
      </w:r>
      <w:r w:rsidRPr="00EA0903" w:rsidR="00774823">
        <w:rPr>
          <w:rFonts w:asciiTheme="minorHAnsi" w:hAnsiTheme="minorHAnsi" w:cstheme="minorHAnsi"/>
          <w:sz w:val="22"/>
          <w:szCs w:val="22"/>
        </w:rPr>
        <w:t xml:space="preserve">king. </w:t>
      </w:r>
      <w:r w:rsidRPr="00EA0903" w:rsidR="00FF0AD2">
        <w:rPr>
          <w:rFonts w:asciiTheme="minorHAnsi" w:hAnsiTheme="minorHAnsi" w:cstheme="minorHAnsi"/>
          <w:sz w:val="22"/>
          <w:szCs w:val="22"/>
        </w:rPr>
        <w:t>They</w:t>
      </w:r>
      <w:r w:rsidRPr="00EA0903" w:rsidR="00DE0A25">
        <w:rPr>
          <w:rFonts w:asciiTheme="minorHAnsi" w:hAnsiTheme="minorHAnsi" w:cstheme="minorHAnsi"/>
          <w:sz w:val="22"/>
          <w:szCs w:val="22"/>
        </w:rPr>
        <w:t xml:space="preserve"> </w:t>
      </w:r>
      <w:r w:rsidRPr="00EA0903" w:rsidR="00AF7717">
        <w:rPr>
          <w:rFonts w:asciiTheme="minorHAnsi" w:hAnsiTheme="minorHAnsi" w:cstheme="minorHAnsi"/>
          <w:sz w:val="22"/>
          <w:szCs w:val="22"/>
        </w:rPr>
        <w:t>suggest</w:t>
      </w:r>
      <w:r w:rsidRPr="00EA0903" w:rsidR="009067A4">
        <w:rPr>
          <w:rFonts w:asciiTheme="minorHAnsi" w:hAnsiTheme="minorHAnsi" w:cstheme="minorHAnsi"/>
          <w:sz w:val="22"/>
          <w:szCs w:val="22"/>
        </w:rPr>
        <w:t xml:space="preserve"> one way to “bridge the gap” is</w:t>
      </w:r>
      <w:r w:rsidRPr="00EA0903" w:rsidR="00A73948">
        <w:rPr>
          <w:rFonts w:asciiTheme="minorHAnsi" w:hAnsiTheme="minorHAnsi" w:cstheme="minorHAnsi"/>
          <w:sz w:val="22"/>
          <w:szCs w:val="22"/>
        </w:rPr>
        <w:t xml:space="preserve"> for clinicians</w:t>
      </w:r>
      <w:r w:rsidRPr="00EA0903" w:rsidR="009067A4">
        <w:rPr>
          <w:rFonts w:asciiTheme="minorHAnsi" w:hAnsiTheme="minorHAnsi" w:cstheme="minorHAnsi"/>
          <w:sz w:val="22"/>
          <w:szCs w:val="22"/>
        </w:rPr>
        <w:t xml:space="preserve"> to re</w:t>
      </w:r>
      <w:r w:rsidRPr="00EA0903" w:rsidR="007C3687">
        <w:rPr>
          <w:rFonts w:asciiTheme="minorHAnsi" w:hAnsiTheme="minorHAnsi" w:cstheme="minorHAnsi"/>
          <w:sz w:val="22"/>
          <w:szCs w:val="22"/>
        </w:rPr>
        <w:t>cognise that</w:t>
      </w:r>
      <w:r w:rsidRPr="00EA0903" w:rsidR="007F1FD4">
        <w:rPr>
          <w:rFonts w:asciiTheme="minorHAnsi" w:hAnsiTheme="minorHAnsi" w:cstheme="minorHAnsi"/>
          <w:sz w:val="22"/>
          <w:szCs w:val="22"/>
        </w:rPr>
        <w:t xml:space="preserve"> </w:t>
      </w:r>
      <w:r w:rsidRPr="00EA0903" w:rsidR="0015003F">
        <w:rPr>
          <w:rFonts w:asciiTheme="minorHAnsi" w:hAnsiTheme="minorHAnsi" w:cstheme="minorHAnsi"/>
          <w:sz w:val="22"/>
          <w:szCs w:val="22"/>
        </w:rPr>
        <w:t>prognostic awareness and</w:t>
      </w:r>
      <w:r w:rsidRPr="00EA0903" w:rsidR="007C3687">
        <w:rPr>
          <w:rFonts w:asciiTheme="minorHAnsi" w:hAnsiTheme="minorHAnsi" w:cstheme="minorHAnsi"/>
          <w:sz w:val="22"/>
          <w:szCs w:val="22"/>
        </w:rPr>
        <w:t xml:space="preserve"> </w:t>
      </w:r>
      <w:r w:rsidRPr="00EA0903" w:rsidR="009C6255">
        <w:rPr>
          <w:rFonts w:asciiTheme="minorHAnsi" w:hAnsiTheme="minorHAnsi" w:cstheme="minorHAnsi"/>
          <w:sz w:val="22"/>
          <w:szCs w:val="22"/>
        </w:rPr>
        <w:t>hope</w:t>
      </w:r>
      <w:r w:rsidRPr="00EA0903" w:rsidR="0015003F">
        <w:rPr>
          <w:rFonts w:asciiTheme="minorHAnsi" w:hAnsiTheme="minorHAnsi" w:cstheme="minorHAnsi"/>
          <w:sz w:val="22"/>
          <w:szCs w:val="22"/>
        </w:rPr>
        <w:t xml:space="preserve"> for a cure </w:t>
      </w:r>
      <w:r w:rsidRPr="00EA0903" w:rsidR="00DE0A25">
        <w:rPr>
          <w:rFonts w:asciiTheme="minorHAnsi" w:hAnsiTheme="minorHAnsi" w:cstheme="minorHAnsi"/>
          <w:sz w:val="22"/>
          <w:szCs w:val="22"/>
        </w:rPr>
        <w:t xml:space="preserve">are not mutually exclusive and can in fact co-exist and </w:t>
      </w:r>
      <w:r w:rsidRPr="00EA0903" w:rsidR="00D44EBA">
        <w:rPr>
          <w:rFonts w:asciiTheme="minorHAnsi" w:hAnsiTheme="minorHAnsi" w:cstheme="minorHAnsi"/>
          <w:sz w:val="22"/>
          <w:szCs w:val="22"/>
        </w:rPr>
        <w:t>that parents may cho</w:t>
      </w:r>
      <w:r w:rsidRPr="00EA0903" w:rsidR="004B1E38">
        <w:rPr>
          <w:rFonts w:asciiTheme="minorHAnsi" w:hAnsiTheme="minorHAnsi" w:cstheme="minorHAnsi"/>
          <w:sz w:val="22"/>
          <w:szCs w:val="22"/>
        </w:rPr>
        <w:t>o</w:t>
      </w:r>
      <w:r w:rsidRPr="00EA0903" w:rsidR="00D44EBA">
        <w:rPr>
          <w:rFonts w:asciiTheme="minorHAnsi" w:hAnsiTheme="minorHAnsi" w:cstheme="minorHAnsi"/>
          <w:sz w:val="22"/>
          <w:szCs w:val="22"/>
        </w:rPr>
        <w:t>se to</w:t>
      </w:r>
      <w:r w:rsidRPr="00EA0903" w:rsidR="0013042E">
        <w:rPr>
          <w:rFonts w:asciiTheme="minorHAnsi" w:hAnsiTheme="minorHAnsi" w:cstheme="minorHAnsi"/>
          <w:sz w:val="22"/>
          <w:szCs w:val="22"/>
        </w:rPr>
        <w:t xml:space="preserve"> </w:t>
      </w:r>
      <w:r w:rsidRPr="00EA0903" w:rsidR="00CF0AAA">
        <w:rPr>
          <w:rFonts w:asciiTheme="minorHAnsi" w:hAnsiTheme="minorHAnsi" w:cstheme="minorHAnsi"/>
          <w:sz w:val="22"/>
          <w:szCs w:val="22"/>
        </w:rPr>
        <w:t xml:space="preserve">live in </w:t>
      </w:r>
      <w:r w:rsidRPr="00EA0903" w:rsidR="00417F5C">
        <w:rPr>
          <w:rFonts w:asciiTheme="minorHAnsi" w:hAnsiTheme="minorHAnsi" w:cstheme="minorHAnsi"/>
          <w:sz w:val="22"/>
          <w:szCs w:val="22"/>
        </w:rPr>
        <w:t>hope for a cure</w:t>
      </w:r>
      <w:r w:rsidRPr="00EA0903" w:rsidR="00634EE9">
        <w:rPr>
          <w:rFonts w:asciiTheme="minorHAnsi" w:hAnsiTheme="minorHAnsi" w:cstheme="minorHAnsi"/>
          <w:sz w:val="22"/>
          <w:szCs w:val="22"/>
        </w:rPr>
        <w:t xml:space="preserve"> as a ‘protective measure’, </w:t>
      </w:r>
      <w:r w:rsidRPr="00EA0903" w:rsidR="00CF0AAA">
        <w:rPr>
          <w:rFonts w:asciiTheme="minorHAnsi" w:hAnsiTheme="minorHAnsi" w:cstheme="minorHAnsi"/>
          <w:sz w:val="22"/>
          <w:szCs w:val="22"/>
        </w:rPr>
        <w:t xml:space="preserve">whilst </w:t>
      </w:r>
      <w:r w:rsidRPr="00EA0903" w:rsidR="00EF5DF2">
        <w:rPr>
          <w:rFonts w:asciiTheme="minorHAnsi" w:hAnsiTheme="minorHAnsi" w:cstheme="minorHAnsi"/>
          <w:sz w:val="22"/>
          <w:szCs w:val="22"/>
        </w:rPr>
        <w:t xml:space="preserve">periodically </w:t>
      </w:r>
      <w:r w:rsidRPr="00EA0903" w:rsidR="00417F5C">
        <w:rPr>
          <w:rFonts w:asciiTheme="minorHAnsi" w:hAnsiTheme="minorHAnsi" w:cstheme="minorHAnsi"/>
          <w:sz w:val="22"/>
          <w:szCs w:val="22"/>
        </w:rPr>
        <w:t>‘visit</w:t>
      </w:r>
      <w:r w:rsidRPr="00EA0903" w:rsidR="00EF5DF2">
        <w:rPr>
          <w:rFonts w:asciiTheme="minorHAnsi" w:hAnsiTheme="minorHAnsi" w:cstheme="minorHAnsi"/>
          <w:sz w:val="22"/>
          <w:szCs w:val="22"/>
        </w:rPr>
        <w:t>ing</w:t>
      </w:r>
      <w:r w:rsidRPr="00EA0903" w:rsidR="00DB10A9">
        <w:rPr>
          <w:rFonts w:asciiTheme="minorHAnsi" w:hAnsiTheme="minorHAnsi" w:cstheme="minorHAnsi"/>
          <w:sz w:val="22"/>
          <w:szCs w:val="22"/>
        </w:rPr>
        <w:t xml:space="preserve"> </w:t>
      </w:r>
      <w:r w:rsidRPr="00EA0903" w:rsidR="00417F5C">
        <w:rPr>
          <w:rFonts w:asciiTheme="minorHAnsi" w:hAnsiTheme="minorHAnsi" w:cstheme="minorHAnsi"/>
          <w:sz w:val="22"/>
          <w:szCs w:val="22"/>
        </w:rPr>
        <w:t>reality</w:t>
      </w:r>
      <w:r w:rsidRPr="00EA0903" w:rsidR="007F5BB1">
        <w:rPr>
          <w:rFonts w:asciiTheme="minorHAnsi" w:hAnsiTheme="minorHAnsi" w:cstheme="minorHAnsi"/>
          <w:sz w:val="22"/>
          <w:szCs w:val="22"/>
        </w:rPr>
        <w:t>’</w:t>
      </w:r>
      <w:r w:rsidRPr="00EA0903" w:rsidR="006025BA">
        <w:rPr>
          <w:rFonts w:asciiTheme="minorHAnsi" w:hAnsiTheme="minorHAnsi" w:cstheme="minorHAnsi"/>
          <w:sz w:val="22"/>
          <w:szCs w:val="22"/>
        </w:rPr>
        <w:t xml:space="preserve"> </w:t>
      </w:r>
      <w:r w:rsidRPr="00EA0903" w:rsidR="001D6246">
        <w:rPr>
          <w:rFonts w:asciiTheme="minorHAnsi" w:hAnsiTheme="minorHAnsi" w:cstheme="minorHAnsi"/>
          <w:sz w:val="22"/>
          <w:szCs w:val="22"/>
        </w:rPr>
        <w:t xml:space="preserve">by </w:t>
      </w:r>
      <w:r w:rsidRPr="00EA0903" w:rsidR="006025BA">
        <w:rPr>
          <w:rFonts w:asciiTheme="minorHAnsi" w:hAnsiTheme="minorHAnsi" w:cstheme="minorHAnsi"/>
          <w:sz w:val="22"/>
          <w:szCs w:val="22"/>
        </w:rPr>
        <w:t>confronting the</w:t>
      </w:r>
      <w:r w:rsidRPr="00EA0903" w:rsidR="00A77DB5">
        <w:rPr>
          <w:rFonts w:asciiTheme="minorHAnsi" w:hAnsiTheme="minorHAnsi" w:cstheme="minorHAnsi"/>
          <w:sz w:val="22"/>
          <w:szCs w:val="22"/>
        </w:rPr>
        <w:t xml:space="preserve"> </w:t>
      </w:r>
      <w:r w:rsidRPr="00EA0903" w:rsidR="003D7FAD">
        <w:rPr>
          <w:rFonts w:asciiTheme="minorHAnsi" w:hAnsiTheme="minorHAnsi" w:cstheme="minorHAnsi"/>
          <w:sz w:val="22"/>
          <w:szCs w:val="22"/>
        </w:rPr>
        <w:t xml:space="preserve">medical “truth” of their child’s condition. In sum, they note that ‘this </w:t>
      </w:r>
      <w:r w:rsidRPr="00EA0903" w:rsidR="00D63106">
        <w:rPr>
          <w:rFonts w:asciiTheme="minorHAnsi" w:hAnsiTheme="minorHAnsi" w:cstheme="minorHAnsi"/>
          <w:sz w:val="22"/>
          <w:szCs w:val="22"/>
        </w:rPr>
        <w:t>“</w:t>
      </w:r>
      <w:r w:rsidRPr="00EA0903" w:rsidR="003D7FAD">
        <w:rPr>
          <w:rFonts w:asciiTheme="minorHAnsi" w:hAnsiTheme="minorHAnsi" w:cstheme="minorHAnsi"/>
          <w:sz w:val="22"/>
          <w:szCs w:val="22"/>
        </w:rPr>
        <w:t>duality</w:t>
      </w:r>
      <w:r w:rsidRPr="00EA0903" w:rsidR="00BF094D">
        <w:rPr>
          <w:rFonts w:asciiTheme="minorHAnsi" w:hAnsiTheme="minorHAnsi" w:cstheme="minorHAnsi"/>
          <w:sz w:val="22"/>
          <w:szCs w:val="22"/>
        </w:rPr>
        <w:t>”</w:t>
      </w:r>
      <w:r w:rsidRPr="00EA0903" w:rsidR="00D63106">
        <w:rPr>
          <w:rFonts w:asciiTheme="minorHAnsi" w:hAnsiTheme="minorHAnsi" w:cstheme="minorHAnsi"/>
          <w:sz w:val="22"/>
          <w:szCs w:val="22"/>
        </w:rPr>
        <w:t xml:space="preserve"> is </w:t>
      </w:r>
      <w:r w:rsidRPr="00EA0903" w:rsidR="00AA515D">
        <w:rPr>
          <w:rFonts w:asciiTheme="minorHAnsi" w:hAnsiTheme="minorHAnsi" w:cstheme="minorHAnsi"/>
          <w:sz w:val="22"/>
          <w:szCs w:val="22"/>
        </w:rPr>
        <w:t xml:space="preserve"> </w:t>
      </w:r>
      <w:r w:rsidRPr="00EA0903" w:rsidR="00D63106">
        <w:rPr>
          <w:rFonts w:asciiTheme="minorHAnsi" w:hAnsiTheme="minorHAnsi" w:cstheme="minorHAnsi"/>
          <w:sz w:val="22"/>
          <w:szCs w:val="22"/>
        </w:rPr>
        <w:t>possible for some parents who may hope until the end for their child to beat the odds</w:t>
      </w:r>
      <w:r w:rsidRPr="00EA0903" w:rsidR="00AA515D">
        <w:rPr>
          <w:rFonts w:asciiTheme="minorHAnsi" w:hAnsiTheme="minorHAnsi" w:cstheme="minorHAnsi"/>
          <w:sz w:val="22"/>
          <w:szCs w:val="22"/>
        </w:rPr>
        <w:t xml:space="preserve"> and survive, and at the same time hope for a comfortable and dignified death’.</w:t>
      </w:r>
      <w:r w:rsidRPr="00EA0903" w:rsidR="00D63106">
        <w:rPr>
          <w:rFonts w:asciiTheme="minorHAnsi" w:hAnsiTheme="minorHAnsi" w:cstheme="minorHAnsi"/>
          <w:sz w:val="22"/>
          <w:szCs w:val="22"/>
        </w:rPr>
        <w:t xml:space="preserve"> </w:t>
      </w:r>
      <w:r w:rsidRPr="00EA0903" w:rsidR="009953FC">
        <w:rPr>
          <w:rStyle w:val="FootnoteReference"/>
          <w:rFonts w:asciiTheme="minorHAnsi" w:hAnsiTheme="minorHAnsi" w:cstheme="minorHAnsi"/>
          <w:sz w:val="22"/>
          <w:szCs w:val="22"/>
        </w:rPr>
        <w:footnoteReference w:id="61"/>
      </w:r>
      <w:r w:rsidRPr="00EA0903" w:rsidR="009953FC">
        <w:rPr>
          <w:rFonts w:asciiTheme="minorHAnsi" w:hAnsiTheme="minorHAnsi" w:cstheme="minorHAnsi"/>
          <w:sz w:val="22"/>
          <w:szCs w:val="22"/>
        </w:rPr>
        <w:t xml:space="preserve"> </w:t>
      </w:r>
    </w:p>
    <w:p w:rsidRPr="0013042E" w:rsidR="008F4C2F" w:rsidP="008F4C2F" w:rsidRDefault="008F4C2F" w14:paraId="1C2CA937" w14:textId="77777777">
      <w:pPr>
        <w:pStyle w:val="ListParagraph"/>
        <w:rPr>
          <w:rFonts w:cstheme="minorHAnsi"/>
        </w:rPr>
      </w:pPr>
    </w:p>
    <w:p w:rsidRPr="0013042E" w:rsidR="00FF5127" w:rsidP="00187EF1" w:rsidRDefault="002613BE" w14:paraId="7B51E212" w14:textId="018CC6F1">
      <w:pPr>
        <w:pStyle w:val="Normal0"/>
        <w:numPr>
          <w:ilvl w:val="0"/>
          <w:numId w:val="2"/>
        </w:numPr>
        <w:jc w:val="both"/>
        <w:rPr>
          <w:rFonts w:asciiTheme="minorHAnsi" w:hAnsiTheme="minorHAnsi" w:cstheme="minorHAnsi"/>
          <w:sz w:val="22"/>
          <w:szCs w:val="22"/>
        </w:rPr>
      </w:pPr>
      <w:r w:rsidRPr="0013042E">
        <w:rPr>
          <w:rFonts w:asciiTheme="minorHAnsi" w:hAnsiTheme="minorHAnsi" w:cstheme="minorHAnsi"/>
          <w:sz w:val="22"/>
          <w:szCs w:val="22"/>
        </w:rPr>
        <w:t>Dolan confirms that</w:t>
      </w:r>
      <w:r w:rsidRPr="0013042E" w:rsidR="00FE2E4C">
        <w:rPr>
          <w:rFonts w:asciiTheme="minorHAnsi" w:hAnsiTheme="minorHAnsi" w:cstheme="minorHAnsi"/>
          <w:sz w:val="22"/>
          <w:szCs w:val="22"/>
        </w:rPr>
        <w:t xml:space="preserve"> parents’ psychological distress may affect decision-making</w:t>
      </w:r>
      <w:r w:rsidRPr="0013042E" w:rsidR="00FA6F12">
        <w:rPr>
          <w:rFonts w:asciiTheme="minorHAnsi" w:hAnsiTheme="minorHAnsi" w:cstheme="minorHAnsi"/>
          <w:sz w:val="22"/>
          <w:szCs w:val="22"/>
        </w:rPr>
        <w:t>.</w:t>
      </w:r>
      <w:r w:rsidRPr="0027174D" w:rsidR="00FA6F12">
        <w:rPr>
          <w:rStyle w:val="FootnoteReference"/>
          <w:rFonts w:asciiTheme="minorHAnsi" w:hAnsiTheme="minorHAnsi" w:cstheme="minorHAnsi"/>
          <w:sz w:val="22"/>
          <w:szCs w:val="22"/>
        </w:rPr>
        <w:footnoteReference w:id="62"/>
      </w:r>
      <w:r w:rsidRPr="0027174D" w:rsidR="00587EF9">
        <w:rPr>
          <w:rFonts w:asciiTheme="minorHAnsi" w:hAnsiTheme="minorHAnsi" w:cstheme="minorHAnsi"/>
          <w:sz w:val="22"/>
          <w:szCs w:val="22"/>
        </w:rPr>
        <w:t xml:space="preserve"> </w:t>
      </w:r>
      <w:r w:rsidRPr="0027174D" w:rsidR="005E41AC">
        <w:rPr>
          <w:rFonts w:asciiTheme="minorHAnsi" w:hAnsiTheme="minorHAnsi" w:cstheme="minorHAnsi"/>
          <w:sz w:val="22"/>
          <w:szCs w:val="22"/>
        </w:rPr>
        <w:t xml:space="preserve">Mooney-Doyle and Ulrich </w:t>
      </w:r>
      <w:r w:rsidRPr="0027174D" w:rsidR="00D77677">
        <w:rPr>
          <w:rFonts w:asciiTheme="minorHAnsi" w:hAnsiTheme="minorHAnsi" w:cstheme="minorHAnsi"/>
          <w:sz w:val="22"/>
          <w:szCs w:val="22"/>
        </w:rPr>
        <w:t>explain that</w:t>
      </w:r>
      <w:r w:rsidRPr="0027174D" w:rsidR="000671DB">
        <w:rPr>
          <w:rFonts w:asciiTheme="minorHAnsi" w:hAnsiTheme="minorHAnsi" w:cstheme="minorHAnsi"/>
          <w:sz w:val="22"/>
          <w:szCs w:val="22"/>
        </w:rPr>
        <w:t xml:space="preserve"> parental distress can </w:t>
      </w:r>
      <w:r w:rsidRPr="00EA0903" w:rsidR="0027174D">
        <w:rPr>
          <w:rFonts w:asciiTheme="minorHAnsi" w:hAnsiTheme="minorHAnsi" w:cstheme="minorHAnsi"/>
          <w:sz w:val="22"/>
          <w:szCs w:val="22"/>
        </w:rPr>
        <w:t>generate</w:t>
      </w:r>
      <w:r w:rsidRPr="00EF3FDE" w:rsidR="002C09F0">
        <w:rPr>
          <w:rFonts w:asciiTheme="minorHAnsi" w:hAnsiTheme="minorHAnsi" w:cstheme="minorHAnsi"/>
          <w:color w:val="0070C0"/>
          <w:sz w:val="22"/>
          <w:szCs w:val="22"/>
        </w:rPr>
        <w:t xml:space="preserve"> </w:t>
      </w:r>
      <w:r w:rsidRPr="0027174D" w:rsidR="000671DB">
        <w:rPr>
          <w:rFonts w:asciiTheme="minorHAnsi" w:hAnsiTheme="minorHAnsi" w:cstheme="minorHAnsi"/>
          <w:sz w:val="22"/>
          <w:szCs w:val="22"/>
        </w:rPr>
        <w:t xml:space="preserve">emotional </w:t>
      </w:r>
      <w:r w:rsidRPr="0027174D" w:rsidR="002C09F0">
        <w:rPr>
          <w:rFonts w:asciiTheme="minorHAnsi" w:hAnsiTheme="minorHAnsi" w:cstheme="minorHAnsi"/>
          <w:sz w:val="22"/>
          <w:szCs w:val="22"/>
        </w:rPr>
        <w:t xml:space="preserve">responses such as </w:t>
      </w:r>
      <w:r w:rsidRPr="0027174D" w:rsidR="00914C6D">
        <w:rPr>
          <w:rFonts w:asciiTheme="minorHAnsi" w:hAnsiTheme="minorHAnsi" w:cstheme="minorHAnsi"/>
          <w:sz w:val="22"/>
          <w:szCs w:val="22"/>
        </w:rPr>
        <w:t>anger at</w:t>
      </w:r>
      <w:r w:rsidRPr="0027174D" w:rsidR="00F65EF8">
        <w:rPr>
          <w:rFonts w:asciiTheme="minorHAnsi" w:hAnsiTheme="minorHAnsi" w:cstheme="minorHAnsi"/>
          <w:sz w:val="22"/>
          <w:szCs w:val="22"/>
        </w:rPr>
        <w:t xml:space="preserve"> unjust circumstances,</w:t>
      </w:r>
      <w:r w:rsidRPr="0027174D" w:rsidR="00D80497">
        <w:rPr>
          <w:rFonts w:asciiTheme="minorHAnsi" w:hAnsiTheme="minorHAnsi" w:cstheme="minorHAnsi"/>
          <w:sz w:val="22"/>
          <w:szCs w:val="22"/>
        </w:rPr>
        <w:t xml:space="preserve"> </w:t>
      </w:r>
      <w:r w:rsidRPr="0027174D" w:rsidR="00F65EF8">
        <w:rPr>
          <w:rFonts w:asciiTheme="minorHAnsi" w:hAnsiTheme="minorHAnsi" w:cstheme="minorHAnsi"/>
          <w:sz w:val="22"/>
          <w:szCs w:val="22"/>
        </w:rPr>
        <w:t xml:space="preserve">or </w:t>
      </w:r>
      <w:r w:rsidRPr="0027174D" w:rsidR="00CB286A">
        <w:rPr>
          <w:rFonts w:asciiTheme="minorHAnsi" w:hAnsiTheme="minorHAnsi" w:cstheme="minorHAnsi"/>
          <w:sz w:val="22"/>
          <w:szCs w:val="22"/>
        </w:rPr>
        <w:t xml:space="preserve">worry </w:t>
      </w:r>
      <w:r w:rsidRPr="0027174D" w:rsidR="00406D7B">
        <w:rPr>
          <w:rFonts w:asciiTheme="minorHAnsi" w:hAnsiTheme="minorHAnsi" w:cstheme="minorHAnsi"/>
          <w:sz w:val="22"/>
          <w:szCs w:val="22"/>
        </w:rPr>
        <w:t xml:space="preserve">about whether something important has been </w:t>
      </w:r>
      <w:r w:rsidRPr="0027174D" w:rsidR="003B48A6">
        <w:rPr>
          <w:rFonts w:asciiTheme="minorHAnsi" w:hAnsiTheme="minorHAnsi" w:cstheme="minorHAnsi"/>
          <w:sz w:val="22"/>
          <w:szCs w:val="22"/>
        </w:rPr>
        <w:t>overlooked</w:t>
      </w:r>
      <w:r w:rsidRPr="00EF3FDE" w:rsidR="003B48A6">
        <w:rPr>
          <w:rFonts w:asciiTheme="minorHAnsi" w:hAnsiTheme="minorHAnsi" w:cstheme="minorHAnsi"/>
          <w:color w:val="0070C0"/>
          <w:sz w:val="22"/>
          <w:szCs w:val="22"/>
        </w:rPr>
        <w:t xml:space="preserve">. </w:t>
      </w:r>
      <w:r w:rsidRPr="0013042E" w:rsidR="003B48A6">
        <w:rPr>
          <w:rFonts w:asciiTheme="minorHAnsi" w:hAnsiTheme="minorHAnsi" w:cstheme="minorHAnsi"/>
          <w:sz w:val="22"/>
          <w:szCs w:val="22"/>
        </w:rPr>
        <w:t>The</w:t>
      </w:r>
      <w:r w:rsidR="00DA7EAF">
        <w:rPr>
          <w:rFonts w:asciiTheme="minorHAnsi" w:hAnsiTheme="minorHAnsi" w:cstheme="minorHAnsi"/>
          <w:sz w:val="22"/>
          <w:szCs w:val="22"/>
        </w:rPr>
        <w:t>ir view concurs with</w:t>
      </w:r>
      <w:r w:rsidRPr="0013042E" w:rsidR="00EF4A11">
        <w:rPr>
          <w:rFonts w:asciiTheme="minorHAnsi" w:hAnsiTheme="minorHAnsi" w:cstheme="minorHAnsi"/>
          <w:sz w:val="22"/>
          <w:szCs w:val="22"/>
        </w:rPr>
        <w:t xml:space="preserve"> Katz’s</w:t>
      </w:r>
      <w:r w:rsidRPr="0013042E" w:rsidR="003B48A6">
        <w:rPr>
          <w:rFonts w:asciiTheme="minorHAnsi" w:hAnsiTheme="minorHAnsi" w:cstheme="minorHAnsi"/>
          <w:sz w:val="22"/>
          <w:szCs w:val="22"/>
        </w:rPr>
        <w:t xml:space="preserve"> </w:t>
      </w:r>
      <w:r w:rsidRPr="0013042E" w:rsidR="000803C7">
        <w:rPr>
          <w:rFonts w:asciiTheme="minorHAnsi" w:hAnsiTheme="minorHAnsi" w:cstheme="minorHAnsi"/>
          <w:sz w:val="22"/>
          <w:szCs w:val="22"/>
        </w:rPr>
        <w:t>concurrence of hope and “reality”</w:t>
      </w:r>
      <w:r w:rsidR="0073227C">
        <w:rPr>
          <w:rFonts w:asciiTheme="minorHAnsi" w:hAnsiTheme="minorHAnsi" w:cstheme="minorHAnsi"/>
          <w:sz w:val="22"/>
          <w:szCs w:val="22"/>
        </w:rPr>
        <w:t>,</w:t>
      </w:r>
      <w:r w:rsidRPr="0013042E" w:rsidR="000803C7">
        <w:rPr>
          <w:rFonts w:asciiTheme="minorHAnsi" w:hAnsiTheme="minorHAnsi" w:cstheme="minorHAnsi"/>
          <w:sz w:val="22"/>
          <w:szCs w:val="22"/>
        </w:rPr>
        <w:t xml:space="preserve"> </w:t>
      </w:r>
      <w:r w:rsidRPr="0013042E" w:rsidR="00EF4A11">
        <w:rPr>
          <w:rFonts w:asciiTheme="minorHAnsi" w:hAnsiTheme="minorHAnsi" w:cstheme="minorHAnsi"/>
          <w:sz w:val="22"/>
          <w:szCs w:val="22"/>
        </w:rPr>
        <w:t>noting ‘</w:t>
      </w:r>
      <w:r w:rsidRPr="0013042E" w:rsidR="005E41AC">
        <w:rPr>
          <w:rFonts w:asciiTheme="minorHAnsi" w:hAnsiTheme="minorHAnsi" w:cstheme="minorHAnsi"/>
          <w:sz w:val="22"/>
          <w:szCs w:val="22"/>
        </w:rPr>
        <w:t>emotions of grief in anticipation of the loss, uncertainty about how to be a “good parent” to one’s seriously ill child, gratitude for the time that is available to spend with the child, or sadness over the impending loss are commonplace emotions.</w:t>
      </w:r>
      <w:r w:rsidRPr="0013042E" w:rsidR="00EF4A11">
        <w:rPr>
          <w:rFonts w:asciiTheme="minorHAnsi" w:hAnsiTheme="minorHAnsi" w:cstheme="minorHAnsi"/>
          <w:sz w:val="22"/>
          <w:szCs w:val="22"/>
        </w:rPr>
        <w:t>’</w:t>
      </w:r>
      <w:r w:rsidRPr="0013042E" w:rsidR="00EF4A11">
        <w:rPr>
          <w:rStyle w:val="FootnoteReference"/>
          <w:rFonts w:asciiTheme="minorHAnsi" w:hAnsiTheme="minorHAnsi" w:cstheme="minorHAnsi"/>
          <w:sz w:val="22"/>
          <w:szCs w:val="22"/>
        </w:rPr>
        <w:footnoteReference w:id="63"/>
      </w:r>
    </w:p>
    <w:p w:rsidRPr="0013042E" w:rsidR="008F4C2F" w:rsidP="008F4C2F" w:rsidRDefault="008F4C2F" w14:paraId="5F496D77" w14:textId="77777777">
      <w:pPr>
        <w:pStyle w:val="ListParagraph"/>
        <w:rPr>
          <w:rFonts w:cstheme="minorHAnsi"/>
        </w:rPr>
      </w:pPr>
    </w:p>
    <w:p w:rsidRPr="00EA0903" w:rsidR="003538A9" w:rsidP="00187EF1" w:rsidRDefault="00FF5127" w14:paraId="58BE7E50" w14:textId="4396189D">
      <w:pPr>
        <w:pStyle w:val="Normal0"/>
        <w:numPr>
          <w:ilvl w:val="0"/>
          <w:numId w:val="2"/>
        </w:numPr>
        <w:jc w:val="both"/>
        <w:rPr>
          <w:rFonts w:asciiTheme="minorHAnsi" w:hAnsiTheme="minorHAnsi" w:cstheme="minorHAnsi"/>
          <w:sz w:val="22"/>
          <w:szCs w:val="22"/>
        </w:rPr>
      </w:pPr>
      <w:r w:rsidRPr="0013042E">
        <w:rPr>
          <w:rFonts w:asciiTheme="minorHAnsi" w:hAnsiTheme="minorHAnsi" w:cstheme="minorHAnsi"/>
          <w:sz w:val="22"/>
          <w:szCs w:val="22"/>
        </w:rPr>
        <w:t xml:space="preserve"> </w:t>
      </w:r>
      <w:r w:rsidRPr="0013042E" w:rsidR="00B30280">
        <w:rPr>
          <w:rFonts w:asciiTheme="minorHAnsi" w:hAnsiTheme="minorHAnsi" w:cstheme="minorHAnsi"/>
          <w:sz w:val="22"/>
          <w:szCs w:val="22"/>
        </w:rPr>
        <w:t xml:space="preserve">The literature </w:t>
      </w:r>
      <w:r w:rsidRPr="0013042E" w:rsidR="00580F29">
        <w:rPr>
          <w:rFonts w:asciiTheme="minorHAnsi" w:hAnsiTheme="minorHAnsi" w:cstheme="minorHAnsi"/>
          <w:sz w:val="22"/>
          <w:szCs w:val="22"/>
        </w:rPr>
        <w:t>suggest</w:t>
      </w:r>
      <w:r w:rsidRPr="0013042E" w:rsidR="00B30280">
        <w:rPr>
          <w:rFonts w:asciiTheme="minorHAnsi" w:hAnsiTheme="minorHAnsi" w:cstheme="minorHAnsi"/>
          <w:sz w:val="22"/>
          <w:szCs w:val="22"/>
        </w:rPr>
        <w:t>s</w:t>
      </w:r>
      <w:r w:rsidRPr="0013042E" w:rsidR="00580F29">
        <w:rPr>
          <w:rFonts w:asciiTheme="minorHAnsi" w:hAnsiTheme="minorHAnsi" w:cstheme="minorHAnsi"/>
          <w:sz w:val="22"/>
          <w:szCs w:val="22"/>
        </w:rPr>
        <w:t xml:space="preserve"> that </w:t>
      </w:r>
      <w:r w:rsidRPr="0013042E" w:rsidR="00862EF2">
        <w:rPr>
          <w:rFonts w:asciiTheme="minorHAnsi" w:hAnsiTheme="minorHAnsi" w:cstheme="minorHAnsi"/>
          <w:sz w:val="22"/>
          <w:szCs w:val="22"/>
        </w:rPr>
        <w:t>some</w:t>
      </w:r>
      <w:r w:rsidRPr="0013042E" w:rsidR="00580F29">
        <w:rPr>
          <w:rFonts w:asciiTheme="minorHAnsi" w:hAnsiTheme="minorHAnsi" w:cstheme="minorHAnsi"/>
          <w:sz w:val="22"/>
          <w:szCs w:val="22"/>
        </w:rPr>
        <w:t xml:space="preserve"> of this disagreement relating to </w:t>
      </w:r>
      <w:r w:rsidRPr="0013042E" w:rsidR="004A4F0D">
        <w:rPr>
          <w:rFonts w:asciiTheme="minorHAnsi" w:hAnsiTheme="minorHAnsi" w:cstheme="minorHAnsi"/>
          <w:sz w:val="22"/>
          <w:szCs w:val="22"/>
        </w:rPr>
        <w:t>psychological</w:t>
      </w:r>
      <w:r w:rsidRPr="0013042E" w:rsidR="00580F29">
        <w:rPr>
          <w:rFonts w:asciiTheme="minorHAnsi" w:hAnsiTheme="minorHAnsi" w:cstheme="minorHAnsi"/>
          <w:sz w:val="22"/>
          <w:szCs w:val="22"/>
        </w:rPr>
        <w:t xml:space="preserve"> factors </w:t>
      </w:r>
      <w:r w:rsidRPr="0013042E" w:rsidR="001A55F0">
        <w:rPr>
          <w:rFonts w:asciiTheme="minorHAnsi" w:hAnsiTheme="minorHAnsi" w:cstheme="minorHAnsi"/>
          <w:sz w:val="22"/>
          <w:szCs w:val="22"/>
        </w:rPr>
        <w:t>is grounded in deeper</w:t>
      </w:r>
      <w:r w:rsidRPr="0013042E" w:rsidR="006F0065">
        <w:rPr>
          <w:rFonts w:asciiTheme="minorHAnsi" w:hAnsiTheme="minorHAnsi" w:cstheme="minorHAnsi"/>
          <w:sz w:val="22"/>
          <w:szCs w:val="22"/>
        </w:rPr>
        <w:t>-</w:t>
      </w:r>
      <w:r w:rsidRPr="0013042E" w:rsidR="001A55F0">
        <w:rPr>
          <w:rFonts w:asciiTheme="minorHAnsi" w:hAnsiTheme="minorHAnsi" w:cstheme="minorHAnsi"/>
          <w:sz w:val="22"/>
          <w:szCs w:val="22"/>
        </w:rPr>
        <w:t>seated (and more difficult to address) cultural attitudes and taboos around talking about death</w:t>
      </w:r>
      <w:r w:rsidR="004138F5">
        <w:rPr>
          <w:rFonts w:asciiTheme="minorHAnsi" w:hAnsiTheme="minorHAnsi" w:cstheme="minorHAnsi"/>
          <w:sz w:val="22"/>
          <w:szCs w:val="22"/>
        </w:rPr>
        <w:t xml:space="preserve">, </w:t>
      </w:r>
      <w:r w:rsidRPr="00EA0903" w:rsidR="004138F5">
        <w:rPr>
          <w:rFonts w:asciiTheme="minorHAnsi" w:hAnsiTheme="minorHAnsi" w:cstheme="minorHAnsi"/>
          <w:sz w:val="22"/>
          <w:szCs w:val="22"/>
        </w:rPr>
        <w:t xml:space="preserve">experienced by both families </w:t>
      </w:r>
      <w:r w:rsidRPr="00EA0903" w:rsidR="004138F5">
        <w:rPr>
          <w:rFonts w:asciiTheme="minorHAnsi" w:hAnsiTheme="minorHAnsi" w:cstheme="minorHAnsi"/>
          <w:i/>
          <w:iCs/>
          <w:sz w:val="22"/>
          <w:szCs w:val="22"/>
        </w:rPr>
        <w:t>and</w:t>
      </w:r>
      <w:r w:rsidRPr="00EA0903" w:rsidR="004138F5">
        <w:rPr>
          <w:rFonts w:asciiTheme="minorHAnsi" w:hAnsiTheme="minorHAnsi" w:cstheme="minorHAnsi"/>
          <w:sz w:val="22"/>
          <w:szCs w:val="22"/>
        </w:rPr>
        <w:t xml:space="preserve"> healthcare professionals. </w:t>
      </w:r>
      <w:r w:rsidRPr="00EA0903" w:rsidR="001A55F0">
        <w:rPr>
          <w:rFonts w:asciiTheme="minorHAnsi" w:hAnsiTheme="minorHAnsi" w:cstheme="minorHAnsi"/>
          <w:sz w:val="22"/>
          <w:szCs w:val="22"/>
        </w:rPr>
        <w:t xml:space="preserve"> </w:t>
      </w:r>
      <w:r w:rsidRPr="0013042E" w:rsidR="00D82852">
        <w:rPr>
          <w:rFonts w:asciiTheme="minorHAnsi" w:hAnsiTheme="minorHAnsi" w:cstheme="minorHAnsi"/>
          <w:sz w:val="22"/>
          <w:szCs w:val="22"/>
        </w:rPr>
        <w:t xml:space="preserve">Bioethicist </w:t>
      </w:r>
      <w:r w:rsidRPr="0013042E" w:rsidR="001A55F0">
        <w:rPr>
          <w:rFonts w:asciiTheme="minorHAnsi" w:hAnsiTheme="minorHAnsi" w:cstheme="minorHAnsi"/>
          <w:sz w:val="22"/>
          <w:szCs w:val="22"/>
        </w:rPr>
        <w:t xml:space="preserve">Moore </w:t>
      </w:r>
      <w:r w:rsidRPr="0013042E" w:rsidR="002406A2">
        <w:rPr>
          <w:rFonts w:asciiTheme="minorHAnsi" w:hAnsiTheme="minorHAnsi" w:cstheme="minorHAnsi"/>
          <w:sz w:val="22"/>
          <w:szCs w:val="22"/>
        </w:rPr>
        <w:t xml:space="preserve">insightfully explores </w:t>
      </w:r>
      <w:r w:rsidRPr="0013042E" w:rsidR="006F0065">
        <w:rPr>
          <w:rFonts w:asciiTheme="minorHAnsi" w:hAnsiTheme="minorHAnsi" w:cstheme="minorHAnsi"/>
          <w:sz w:val="22"/>
          <w:szCs w:val="22"/>
        </w:rPr>
        <w:t xml:space="preserve">the </w:t>
      </w:r>
      <w:r w:rsidR="009D30D3">
        <w:rPr>
          <w:rFonts w:asciiTheme="minorHAnsi" w:hAnsiTheme="minorHAnsi" w:cstheme="minorHAnsi"/>
          <w:sz w:val="22"/>
          <w:szCs w:val="22"/>
        </w:rPr>
        <w:t>‘</w:t>
      </w:r>
      <w:r w:rsidRPr="0013042E" w:rsidR="006F0065">
        <w:rPr>
          <w:rFonts w:asciiTheme="minorHAnsi" w:hAnsiTheme="minorHAnsi" w:cstheme="minorHAnsi"/>
          <w:sz w:val="22"/>
          <w:szCs w:val="22"/>
        </w:rPr>
        <w:t>fraught notion</w:t>
      </w:r>
      <w:r w:rsidR="009D30D3">
        <w:rPr>
          <w:rFonts w:asciiTheme="minorHAnsi" w:hAnsiTheme="minorHAnsi" w:cstheme="minorHAnsi"/>
          <w:sz w:val="22"/>
          <w:szCs w:val="22"/>
        </w:rPr>
        <w:t>’</w:t>
      </w:r>
      <w:r w:rsidRPr="0013042E" w:rsidR="006F0065">
        <w:rPr>
          <w:rFonts w:asciiTheme="minorHAnsi" w:hAnsiTheme="minorHAnsi" w:cstheme="minorHAnsi"/>
          <w:sz w:val="22"/>
          <w:szCs w:val="22"/>
        </w:rPr>
        <w:t xml:space="preserve"> of a “Good Death” in </w:t>
      </w:r>
      <w:r w:rsidRPr="0013042E" w:rsidR="00650054">
        <w:rPr>
          <w:rFonts w:asciiTheme="minorHAnsi" w:hAnsiTheme="minorHAnsi" w:cstheme="minorHAnsi"/>
          <w:sz w:val="22"/>
          <w:szCs w:val="22"/>
        </w:rPr>
        <w:t>p</w:t>
      </w:r>
      <w:r w:rsidRPr="0013042E" w:rsidR="006F0065">
        <w:rPr>
          <w:rFonts w:asciiTheme="minorHAnsi" w:hAnsiTheme="minorHAnsi" w:cstheme="minorHAnsi"/>
          <w:sz w:val="22"/>
          <w:szCs w:val="22"/>
        </w:rPr>
        <w:t>aediatrics and</w:t>
      </w:r>
      <w:r w:rsidRPr="0013042E" w:rsidR="00A42C8A">
        <w:rPr>
          <w:rFonts w:asciiTheme="minorHAnsi" w:hAnsiTheme="minorHAnsi" w:cstheme="minorHAnsi"/>
          <w:sz w:val="22"/>
          <w:szCs w:val="22"/>
        </w:rPr>
        <w:t xml:space="preserve"> reveals cultural difficulties </w:t>
      </w:r>
      <w:r w:rsidRPr="0013042E" w:rsidR="00203C06">
        <w:rPr>
          <w:rFonts w:asciiTheme="minorHAnsi" w:hAnsiTheme="minorHAnsi" w:cstheme="minorHAnsi"/>
          <w:sz w:val="22"/>
          <w:szCs w:val="22"/>
        </w:rPr>
        <w:t>with conceiving of the death of a child as ever being “good”</w:t>
      </w:r>
      <w:r w:rsidRPr="0013042E" w:rsidR="00075D62">
        <w:rPr>
          <w:rFonts w:asciiTheme="minorHAnsi" w:hAnsiTheme="minorHAnsi" w:cstheme="minorHAnsi"/>
          <w:sz w:val="22"/>
          <w:szCs w:val="22"/>
        </w:rPr>
        <w:t>.</w:t>
      </w:r>
      <w:r w:rsidRPr="0013042E" w:rsidR="00075D62">
        <w:rPr>
          <w:rStyle w:val="FootnoteReference"/>
          <w:rFonts w:asciiTheme="minorHAnsi" w:hAnsiTheme="minorHAnsi" w:cstheme="minorHAnsi"/>
          <w:sz w:val="22"/>
          <w:szCs w:val="22"/>
        </w:rPr>
        <w:footnoteReference w:id="64"/>
      </w:r>
      <w:r w:rsidRPr="0013042E" w:rsidR="003B7C96">
        <w:rPr>
          <w:rFonts w:asciiTheme="minorHAnsi" w:hAnsiTheme="minorHAnsi" w:cstheme="minorHAnsi"/>
          <w:sz w:val="22"/>
          <w:szCs w:val="22"/>
        </w:rPr>
        <w:t xml:space="preserve"> She contends that this may be a result of a generalised aversion to death</w:t>
      </w:r>
      <w:r w:rsidRPr="0013042E" w:rsidR="001F6B91">
        <w:rPr>
          <w:rFonts w:asciiTheme="minorHAnsi" w:hAnsiTheme="minorHAnsi" w:cstheme="minorHAnsi"/>
          <w:sz w:val="22"/>
          <w:szCs w:val="22"/>
        </w:rPr>
        <w:t>, or a specific belief that ‘</w:t>
      </w:r>
      <w:r w:rsidRPr="0013042E" w:rsidR="003B7C96">
        <w:rPr>
          <w:rFonts w:asciiTheme="minorHAnsi" w:hAnsiTheme="minorHAnsi" w:cstheme="minorHAnsi"/>
          <w:sz w:val="22"/>
          <w:szCs w:val="22"/>
        </w:rPr>
        <w:t>there is something uniquely bad about death in childhood</w:t>
      </w:r>
      <w:r w:rsidRPr="0013042E" w:rsidR="001F6B91">
        <w:rPr>
          <w:rFonts w:asciiTheme="minorHAnsi" w:hAnsiTheme="minorHAnsi" w:cstheme="minorHAnsi"/>
          <w:sz w:val="22"/>
          <w:szCs w:val="22"/>
        </w:rPr>
        <w:t>’</w:t>
      </w:r>
      <w:r w:rsidRPr="0013042E" w:rsidR="003F404E">
        <w:rPr>
          <w:rFonts w:asciiTheme="minorHAnsi" w:hAnsiTheme="minorHAnsi" w:cstheme="minorHAnsi"/>
          <w:sz w:val="22"/>
          <w:szCs w:val="22"/>
        </w:rPr>
        <w:t xml:space="preserve">, due to </w:t>
      </w:r>
      <w:r w:rsidRPr="0013042E" w:rsidR="007E5AF7">
        <w:rPr>
          <w:rFonts w:asciiTheme="minorHAnsi" w:hAnsiTheme="minorHAnsi" w:cstheme="minorHAnsi"/>
          <w:sz w:val="22"/>
          <w:szCs w:val="22"/>
        </w:rPr>
        <w:t xml:space="preserve">lost potential for life and growth, </w:t>
      </w:r>
      <w:r w:rsidRPr="00904153" w:rsidR="00904153">
        <w:rPr>
          <w:rFonts w:asciiTheme="minorHAnsi" w:hAnsiTheme="minorHAnsi" w:cstheme="minorHAnsi"/>
          <w:color w:val="FF0000"/>
          <w:sz w:val="22"/>
          <w:szCs w:val="22"/>
        </w:rPr>
        <w:t xml:space="preserve"> a </w:t>
      </w:r>
      <w:r w:rsidRPr="0013042E" w:rsidR="007E5AF7">
        <w:rPr>
          <w:rFonts w:asciiTheme="minorHAnsi" w:hAnsiTheme="minorHAnsi" w:cstheme="minorHAnsi"/>
          <w:sz w:val="22"/>
          <w:szCs w:val="22"/>
        </w:rPr>
        <w:t>reaction to the rarity of child death</w:t>
      </w:r>
      <w:r w:rsidRPr="0013042E" w:rsidR="003538A9">
        <w:rPr>
          <w:rFonts w:asciiTheme="minorHAnsi" w:hAnsiTheme="minorHAnsi" w:cstheme="minorHAnsi"/>
          <w:sz w:val="22"/>
          <w:szCs w:val="22"/>
        </w:rPr>
        <w:t>,</w:t>
      </w:r>
      <w:r w:rsidRPr="0013042E" w:rsidR="003F59B2">
        <w:rPr>
          <w:rFonts w:asciiTheme="minorHAnsi" w:hAnsiTheme="minorHAnsi" w:cstheme="minorHAnsi"/>
          <w:sz w:val="22"/>
          <w:szCs w:val="22"/>
        </w:rPr>
        <w:t xml:space="preserve"> and a sorrow that children lack time or a sense of self to help prepare them for death</w:t>
      </w:r>
      <w:r w:rsidRPr="0013042E" w:rsidR="003538A9">
        <w:rPr>
          <w:rFonts w:asciiTheme="minorHAnsi" w:hAnsiTheme="minorHAnsi" w:cstheme="minorHAnsi"/>
          <w:sz w:val="22"/>
          <w:szCs w:val="22"/>
        </w:rPr>
        <w:t xml:space="preserve"> </w:t>
      </w:r>
      <w:r w:rsidRPr="0013042E" w:rsidR="003F59B2">
        <w:rPr>
          <w:rStyle w:val="FootnoteReference"/>
          <w:rFonts w:asciiTheme="minorHAnsi" w:hAnsiTheme="minorHAnsi" w:cstheme="minorHAnsi"/>
          <w:sz w:val="22"/>
          <w:szCs w:val="22"/>
        </w:rPr>
        <w:footnoteReference w:id="65"/>
      </w:r>
      <w:r w:rsidRPr="0013042E" w:rsidR="003538A9">
        <w:rPr>
          <w:rFonts w:asciiTheme="minorHAnsi" w:hAnsiTheme="minorHAnsi" w:cstheme="minorHAnsi"/>
          <w:sz w:val="22"/>
          <w:szCs w:val="22"/>
        </w:rPr>
        <w:t xml:space="preserve"> </w:t>
      </w:r>
      <w:r w:rsidR="00930503">
        <w:rPr>
          <w:rFonts w:asciiTheme="minorHAnsi" w:hAnsiTheme="minorHAnsi" w:cstheme="minorHAnsi"/>
          <w:sz w:val="22"/>
          <w:szCs w:val="22"/>
        </w:rPr>
        <w:t xml:space="preserve">- </w:t>
      </w:r>
      <w:r w:rsidRPr="0013042E" w:rsidR="003538A9">
        <w:rPr>
          <w:rFonts w:asciiTheme="minorHAnsi" w:hAnsiTheme="minorHAnsi" w:cstheme="minorHAnsi"/>
          <w:sz w:val="22"/>
          <w:szCs w:val="22"/>
        </w:rPr>
        <w:t>essentially that a ‘child’s status as child therein precludes them from dying a good death’.</w:t>
      </w:r>
      <w:r w:rsidRPr="0013042E" w:rsidR="005F2009">
        <w:rPr>
          <w:rStyle w:val="FootnoteReference"/>
          <w:rFonts w:asciiTheme="minorHAnsi" w:hAnsiTheme="minorHAnsi" w:cstheme="minorHAnsi"/>
          <w:sz w:val="22"/>
          <w:szCs w:val="22"/>
        </w:rPr>
        <w:footnoteReference w:id="66"/>
      </w:r>
      <w:r w:rsidRPr="0013042E" w:rsidR="005F2009">
        <w:rPr>
          <w:rFonts w:asciiTheme="minorHAnsi" w:hAnsiTheme="minorHAnsi" w:cstheme="minorHAnsi"/>
          <w:sz w:val="22"/>
          <w:szCs w:val="22"/>
        </w:rPr>
        <w:t xml:space="preserve"> These attitudes may manifest </w:t>
      </w:r>
      <w:r w:rsidR="00456152">
        <w:rPr>
          <w:rFonts w:asciiTheme="minorHAnsi" w:hAnsiTheme="minorHAnsi" w:cstheme="minorHAnsi"/>
          <w:sz w:val="22"/>
          <w:szCs w:val="22"/>
        </w:rPr>
        <w:t xml:space="preserve">themselves </w:t>
      </w:r>
      <w:r w:rsidRPr="0013042E" w:rsidR="005F2009">
        <w:rPr>
          <w:rFonts w:asciiTheme="minorHAnsi" w:hAnsiTheme="minorHAnsi" w:cstheme="minorHAnsi"/>
          <w:sz w:val="22"/>
          <w:szCs w:val="22"/>
        </w:rPr>
        <w:t xml:space="preserve">as a </w:t>
      </w:r>
      <w:r w:rsidRPr="00EA0903" w:rsidR="00BD623C">
        <w:rPr>
          <w:rFonts w:asciiTheme="minorHAnsi" w:hAnsiTheme="minorHAnsi" w:cstheme="minorHAnsi"/>
          <w:sz w:val="22"/>
          <w:szCs w:val="22"/>
        </w:rPr>
        <w:t>reluctance</w:t>
      </w:r>
      <w:r w:rsidRPr="00EA0903" w:rsidR="005F2009">
        <w:rPr>
          <w:rFonts w:asciiTheme="minorHAnsi" w:hAnsiTheme="minorHAnsi" w:cstheme="minorHAnsi"/>
          <w:sz w:val="22"/>
          <w:szCs w:val="22"/>
        </w:rPr>
        <w:t xml:space="preserve"> </w:t>
      </w:r>
      <w:r w:rsidRPr="00EA0903" w:rsidR="008363DE">
        <w:rPr>
          <w:rFonts w:asciiTheme="minorHAnsi" w:hAnsiTheme="minorHAnsi" w:cstheme="minorHAnsi"/>
          <w:sz w:val="22"/>
          <w:szCs w:val="22"/>
        </w:rPr>
        <w:t>to</w:t>
      </w:r>
      <w:r w:rsidRPr="00EA0903" w:rsidR="00460380">
        <w:rPr>
          <w:rFonts w:asciiTheme="minorHAnsi" w:hAnsiTheme="minorHAnsi" w:cstheme="minorHAnsi"/>
          <w:sz w:val="22"/>
          <w:szCs w:val="22"/>
        </w:rPr>
        <w:t xml:space="preserve"> </w:t>
      </w:r>
      <w:r w:rsidRPr="00EA0903" w:rsidR="00A659CC">
        <w:rPr>
          <w:rFonts w:asciiTheme="minorHAnsi" w:hAnsiTheme="minorHAnsi" w:cstheme="minorHAnsi"/>
          <w:sz w:val="22"/>
          <w:szCs w:val="22"/>
        </w:rPr>
        <w:t>acknowledg</w:t>
      </w:r>
      <w:r w:rsidRPr="00EA0903" w:rsidR="00387376">
        <w:rPr>
          <w:rFonts w:asciiTheme="minorHAnsi" w:hAnsiTheme="minorHAnsi" w:cstheme="minorHAnsi"/>
          <w:sz w:val="22"/>
          <w:szCs w:val="22"/>
        </w:rPr>
        <w:t>e</w:t>
      </w:r>
      <w:r w:rsidRPr="00EA0903" w:rsidR="00A659CC">
        <w:rPr>
          <w:rFonts w:asciiTheme="minorHAnsi" w:hAnsiTheme="minorHAnsi" w:cstheme="minorHAnsi"/>
          <w:sz w:val="22"/>
          <w:szCs w:val="22"/>
        </w:rPr>
        <w:t xml:space="preserve"> the possibility of</w:t>
      </w:r>
      <w:r w:rsidRPr="00EA0903" w:rsidR="00460380">
        <w:rPr>
          <w:rFonts w:asciiTheme="minorHAnsi" w:hAnsiTheme="minorHAnsi" w:cstheme="minorHAnsi"/>
          <w:sz w:val="22"/>
          <w:szCs w:val="22"/>
        </w:rPr>
        <w:t xml:space="preserve"> child death</w:t>
      </w:r>
      <w:r w:rsidRPr="00EA0903" w:rsidR="00634FD6">
        <w:rPr>
          <w:rFonts w:asciiTheme="minorHAnsi" w:hAnsiTheme="minorHAnsi" w:cstheme="minorHAnsi"/>
          <w:sz w:val="22"/>
          <w:szCs w:val="22"/>
        </w:rPr>
        <w:t xml:space="preserve"> and</w:t>
      </w:r>
      <w:r w:rsidRPr="00EA0903" w:rsidR="00806159">
        <w:rPr>
          <w:rFonts w:asciiTheme="minorHAnsi" w:hAnsiTheme="minorHAnsi" w:cstheme="minorHAnsi"/>
          <w:sz w:val="22"/>
          <w:szCs w:val="22"/>
        </w:rPr>
        <w:t xml:space="preserve"> a discomfort </w:t>
      </w:r>
      <w:r w:rsidRPr="00EA0903" w:rsidR="00F16C67">
        <w:rPr>
          <w:rFonts w:asciiTheme="minorHAnsi" w:hAnsiTheme="minorHAnsi" w:cstheme="minorHAnsi"/>
          <w:sz w:val="22"/>
          <w:szCs w:val="22"/>
        </w:rPr>
        <w:t>on the part of both families and professionals in having needed conversations.</w:t>
      </w:r>
      <w:r w:rsidRPr="00EA0903" w:rsidR="00634FD6">
        <w:rPr>
          <w:rFonts w:asciiTheme="minorHAnsi" w:hAnsiTheme="minorHAnsi" w:cstheme="minorHAnsi"/>
          <w:sz w:val="22"/>
          <w:szCs w:val="22"/>
        </w:rPr>
        <w:t xml:space="preserve"> </w:t>
      </w:r>
      <w:r w:rsidRPr="00EA0903" w:rsidR="001D4B1B">
        <w:rPr>
          <w:rFonts w:asciiTheme="minorHAnsi" w:hAnsiTheme="minorHAnsi" w:cstheme="minorHAnsi"/>
          <w:sz w:val="22"/>
          <w:szCs w:val="22"/>
        </w:rPr>
        <w:t>As a</w:t>
      </w:r>
      <w:r w:rsidRPr="00EA0903" w:rsidR="00F16C67">
        <w:rPr>
          <w:rFonts w:asciiTheme="minorHAnsi" w:hAnsiTheme="minorHAnsi" w:cstheme="minorHAnsi"/>
          <w:sz w:val="22"/>
          <w:szCs w:val="22"/>
        </w:rPr>
        <w:t xml:space="preserve"> </w:t>
      </w:r>
      <w:r w:rsidRPr="00EA0903" w:rsidR="00A659CC">
        <w:rPr>
          <w:rFonts w:asciiTheme="minorHAnsi" w:hAnsiTheme="minorHAnsi" w:cstheme="minorHAnsi"/>
          <w:sz w:val="22"/>
          <w:szCs w:val="22"/>
        </w:rPr>
        <w:t>result</w:t>
      </w:r>
      <w:r w:rsidRPr="00EA0903" w:rsidR="00F3275E">
        <w:rPr>
          <w:rFonts w:asciiTheme="minorHAnsi" w:hAnsiTheme="minorHAnsi" w:cstheme="minorHAnsi"/>
          <w:sz w:val="22"/>
          <w:szCs w:val="22"/>
        </w:rPr>
        <w:t>,</w:t>
      </w:r>
      <w:r w:rsidRPr="00EA0903" w:rsidR="00A659CC">
        <w:rPr>
          <w:rFonts w:asciiTheme="minorHAnsi" w:hAnsiTheme="minorHAnsi" w:cstheme="minorHAnsi"/>
          <w:sz w:val="22"/>
          <w:szCs w:val="22"/>
        </w:rPr>
        <w:t xml:space="preserve"> parties</w:t>
      </w:r>
      <w:r w:rsidRPr="00EA0903" w:rsidR="00F3275E">
        <w:rPr>
          <w:rFonts w:asciiTheme="minorHAnsi" w:hAnsiTheme="minorHAnsi" w:cstheme="minorHAnsi"/>
          <w:sz w:val="22"/>
          <w:szCs w:val="22"/>
        </w:rPr>
        <w:t xml:space="preserve"> may find themselves</w:t>
      </w:r>
      <w:r w:rsidRPr="00EA0903" w:rsidR="00A659CC">
        <w:rPr>
          <w:rFonts w:asciiTheme="minorHAnsi" w:hAnsiTheme="minorHAnsi" w:cstheme="minorHAnsi"/>
          <w:sz w:val="22"/>
          <w:szCs w:val="22"/>
        </w:rPr>
        <w:t xml:space="preserve"> talking at cross-purposes, with </w:t>
      </w:r>
      <w:r w:rsidRPr="00EA0903" w:rsidR="00A91C06">
        <w:rPr>
          <w:rFonts w:asciiTheme="minorHAnsi" w:hAnsiTheme="minorHAnsi" w:cstheme="minorHAnsi"/>
          <w:sz w:val="22"/>
          <w:szCs w:val="22"/>
        </w:rPr>
        <w:t>the</w:t>
      </w:r>
      <w:r w:rsidRPr="00EA0903" w:rsidR="00F8687A">
        <w:rPr>
          <w:rFonts w:asciiTheme="minorHAnsi" w:hAnsiTheme="minorHAnsi" w:cstheme="minorHAnsi"/>
          <w:sz w:val="22"/>
          <w:szCs w:val="22"/>
        </w:rPr>
        <w:t xml:space="preserve"> parents</w:t>
      </w:r>
      <w:r w:rsidRPr="00EA0903" w:rsidR="00456152">
        <w:rPr>
          <w:rFonts w:asciiTheme="minorHAnsi" w:hAnsiTheme="minorHAnsi" w:cstheme="minorHAnsi"/>
          <w:sz w:val="22"/>
          <w:szCs w:val="22"/>
        </w:rPr>
        <w:t xml:space="preserve"> often</w:t>
      </w:r>
      <w:r w:rsidRPr="00EA0903" w:rsidR="00F8687A">
        <w:rPr>
          <w:rFonts w:asciiTheme="minorHAnsi" w:hAnsiTheme="minorHAnsi" w:cstheme="minorHAnsi"/>
          <w:sz w:val="22"/>
          <w:szCs w:val="22"/>
        </w:rPr>
        <w:t xml:space="preserve"> continu</w:t>
      </w:r>
      <w:r w:rsidRPr="00EA0903" w:rsidR="00A659CC">
        <w:rPr>
          <w:rFonts w:asciiTheme="minorHAnsi" w:hAnsiTheme="minorHAnsi" w:cstheme="minorHAnsi"/>
          <w:sz w:val="22"/>
          <w:szCs w:val="22"/>
        </w:rPr>
        <w:t>ing to adopt the typical</w:t>
      </w:r>
      <w:r w:rsidRPr="00EA0903" w:rsidR="00F8687A">
        <w:rPr>
          <w:rFonts w:asciiTheme="minorHAnsi" w:hAnsiTheme="minorHAnsi" w:cstheme="minorHAnsi"/>
          <w:sz w:val="22"/>
          <w:szCs w:val="22"/>
        </w:rPr>
        <w:t xml:space="preserve"> future-or</w:t>
      </w:r>
      <w:r w:rsidRPr="00EA0903" w:rsidR="00201547">
        <w:rPr>
          <w:rFonts w:asciiTheme="minorHAnsi" w:hAnsiTheme="minorHAnsi" w:cstheme="minorHAnsi"/>
          <w:sz w:val="22"/>
          <w:szCs w:val="22"/>
        </w:rPr>
        <w:t>ientated understanding of</w:t>
      </w:r>
      <w:r w:rsidRPr="00EA0903" w:rsidR="00A91C06">
        <w:rPr>
          <w:rFonts w:asciiTheme="minorHAnsi" w:hAnsiTheme="minorHAnsi" w:cstheme="minorHAnsi"/>
          <w:sz w:val="22"/>
          <w:szCs w:val="22"/>
        </w:rPr>
        <w:t xml:space="preserve"> the child’s interests</w:t>
      </w:r>
      <w:r w:rsidRPr="00EA0903" w:rsidR="00A659CC">
        <w:rPr>
          <w:rFonts w:asciiTheme="minorHAnsi" w:hAnsiTheme="minorHAnsi" w:cstheme="minorHAnsi"/>
          <w:sz w:val="22"/>
          <w:szCs w:val="22"/>
        </w:rPr>
        <w:t>,</w:t>
      </w:r>
      <w:r w:rsidRPr="00EA0903" w:rsidR="000D52FA">
        <w:rPr>
          <w:rFonts w:asciiTheme="minorHAnsi" w:hAnsiTheme="minorHAnsi" w:cstheme="minorHAnsi"/>
          <w:sz w:val="22"/>
          <w:szCs w:val="22"/>
        </w:rPr>
        <w:t xml:space="preserve"> and perhaps push for “everything to be done”,</w:t>
      </w:r>
      <w:r w:rsidRPr="00EA0903" w:rsidR="00A659CC">
        <w:rPr>
          <w:rFonts w:asciiTheme="minorHAnsi" w:hAnsiTheme="minorHAnsi" w:cstheme="minorHAnsi"/>
          <w:sz w:val="22"/>
          <w:szCs w:val="22"/>
        </w:rPr>
        <w:t xml:space="preserve"> whilst</w:t>
      </w:r>
      <w:r w:rsidRPr="00EA0903" w:rsidR="00FB2601">
        <w:rPr>
          <w:rFonts w:asciiTheme="minorHAnsi" w:hAnsiTheme="minorHAnsi" w:cstheme="minorHAnsi"/>
          <w:sz w:val="22"/>
          <w:szCs w:val="22"/>
        </w:rPr>
        <w:t xml:space="preserve"> the clinicians</w:t>
      </w:r>
      <w:r w:rsidRPr="00EA0903" w:rsidR="000D52FA">
        <w:rPr>
          <w:rFonts w:asciiTheme="minorHAnsi" w:hAnsiTheme="minorHAnsi" w:cstheme="minorHAnsi"/>
          <w:sz w:val="22"/>
          <w:szCs w:val="22"/>
        </w:rPr>
        <w:t xml:space="preserve"> view is </w:t>
      </w:r>
      <w:r w:rsidRPr="00EA0903" w:rsidR="00FB2601">
        <w:rPr>
          <w:rFonts w:asciiTheme="minorHAnsi" w:hAnsiTheme="minorHAnsi" w:cstheme="minorHAnsi"/>
          <w:sz w:val="22"/>
          <w:szCs w:val="22"/>
        </w:rPr>
        <w:t>present-</w:t>
      </w:r>
      <w:r w:rsidRPr="00EA0903" w:rsidR="000D52FA">
        <w:rPr>
          <w:rFonts w:asciiTheme="minorHAnsi" w:hAnsiTheme="minorHAnsi" w:cstheme="minorHAnsi"/>
          <w:sz w:val="22"/>
          <w:szCs w:val="22"/>
        </w:rPr>
        <w:t>orientated</w:t>
      </w:r>
      <w:r w:rsidRPr="00EA0903" w:rsidR="00FB2601">
        <w:rPr>
          <w:rFonts w:asciiTheme="minorHAnsi" w:hAnsiTheme="minorHAnsi" w:cstheme="minorHAnsi"/>
          <w:sz w:val="22"/>
          <w:szCs w:val="22"/>
        </w:rPr>
        <w:t>.</w:t>
      </w:r>
      <w:r w:rsidRPr="00EA0903" w:rsidR="00201547">
        <w:rPr>
          <w:rFonts w:asciiTheme="minorHAnsi" w:hAnsiTheme="minorHAnsi" w:cstheme="minorHAnsi"/>
          <w:sz w:val="22"/>
          <w:szCs w:val="22"/>
        </w:rPr>
        <w:t xml:space="preserve"> </w:t>
      </w:r>
      <w:r w:rsidRPr="00EA0903" w:rsidR="00FB2601">
        <w:rPr>
          <w:rStyle w:val="FootnoteReference"/>
          <w:rFonts w:asciiTheme="minorHAnsi" w:hAnsiTheme="minorHAnsi" w:cstheme="minorHAnsi"/>
          <w:sz w:val="22"/>
          <w:szCs w:val="22"/>
        </w:rPr>
        <w:footnoteReference w:id="67"/>
      </w:r>
      <w:r w:rsidRPr="00EA0903" w:rsidR="00A07CD0">
        <w:rPr>
          <w:rFonts w:asciiTheme="minorHAnsi" w:hAnsiTheme="minorHAnsi" w:cstheme="minorHAnsi"/>
          <w:sz w:val="22"/>
          <w:szCs w:val="22"/>
        </w:rPr>
        <w:t xml:space="preserve"> </w:t>
      </w:r>
      <w:r w:rsidRPr="00EA0903" w:rsidR="00296CC5">
        <w:rPr>
          <w:rFonts w:asciiTheme="minorHAnsi" w:hAnsiTheme="minorHAnsi" w:cstheme="minorHAnsi"/>
          <w:sz w:val="22"/>
          <w:szCs w:val="22"/>
        </w:rPr>
        <w:t>Moore</w:t>
      </w:r>
      <w:r w:rsidRPr="00EA0903" w:rsidR="00A07CD0">
        <w:rPr>
          <w:rFonts w:asciiTheme="minorHAnsi" w:hAnsiTheme="minorHAnsi" w:cstheme="minorHAnsi"/>
          <w:sz w:val="22"/>
          <w:szCs w:val="22"/>
        </w:rPr>
        <w:t xml:space="preserve"> sums up the dilemma:</w:t>
      </w:r>
    </w:p>
    <w:p w:rsidRPr="00EA0903" w:rsidR="008F4C2F" w:rsidP="008F4C2F" w:rsidRDefault="008F4C2F" w14:paraId="603C7020" w14:textId="77777777">
      <w:pPr>
        <w:pStyle w:val="Normal0"/>
        <w:ind w:left="720"/>
        <w:rPr>
          <w:rFonts w:asciiTheme="minorHAnsi" w:hAnsiTheme="minorHAnsi" w:cstheme="minorHAnsi"/>
          <w:sz w:val="22"/>
          <w:szCs w:val="22"/>
        </w:rPr>
      </w:pPr>
    </w:p>
    <w:p w:rsidRPr="00EA0903" w:rsidR="0013042E" w:rsidP="00187EF1" w:rsidRDefault="00A07CD0" w14:paraId="21411B4E" w14:textId="5A10B16D">
      <w:pPr>
        <w:widowControl w:val="0"/>
        <w:autoSpaceDE w:val="0"/>
        <w:autoSpaceDN w:val="0"/>
        <w:adjustRightInd w:val="0"/>
        <w:ind w:left="1440"/>
        <w:jc w:val="both"/>
        <w:rPr>
          <w:rFonts w:cstheme="minorHAnsi"/>
        </w:rPr>
      </w:pPr>
      <w:r w:rsidRPr="00EA0903">
        <w:rPr>
          <w:rFonts w:cstheme="minorHAnsi"/>
        </w:rPr>
        <w:t>If parents reject that their child is dying, then continuing to push for goals connected to the interests of dying children, when parents’ goals are based on a different set of interests, may exacerbate miscommunication and conflict, and stonewall decision-making for the child. Such situations require either deference to the parent’s future-oriented goals (i.e., professional acceptance that, sometimes, patient care does not meaningfully connect with the patient’s interests), or a sustained investment in shifting parents’ understanding of their child’s clinical reality.</w:t>
      </w:r>
      <w:r w:rsidRPr="00EA0903">
        <w:rPr>
          <w:rStyle w:val="FootnoteReference"/>
          <w:rFonts w:cstheme="minorHAnsi"/>
        </w:rPr>
        <w:footnoteReference w:id="68"/>
      </w:r>
    </w:p>
    <w:p w:rsidRPr="00EA0903" w:rsidR="0013042E" w:rsidP="003E5A4D" w:rsidRDefault="0013042E" w14:paraId="67AF7A3A" w14:textId="77777777">
      <w:pPr>
        <w:jc w:val="both"/>
        <w:rPr>
          <w:sz w:val="24"/>
          <w:szCs w:val="24"/>
        </w:rPr>
      </w:pPr>
    </w:p>
    <w:p w:rsidRPr="00EA0903" w:rsidR="004A4F0D" w:rsidP="004F538C" w:rsidRDefault="004F538C" w14:paraId="0EB97B80" w14:textId="11240E72">
      <w:pPr>
        <w:jc w:val="both"/>
        <w:rPr>
          <w:i/>
          <w:iCs/>
          <w:sz w:val="24"/>
          <w:szCs w:val="24"/>
        </w:rPr>
      </w:pPr>
      <w:r w:rsidRPr="00EA0903">
        <w:rPr>
          <w:i/>
          <w:iCs/>
          <w:sz w:val="24"/>
          <w:szCs w:val="24"/>
        </w:rPr>
        <w:t xml:space="preserve">ii) </w:t>
      </w:r>
      <w:r w:rsidRPr="00EA0903" w:rsidR="009E562D">
        <w:rPr>
          <w:i/>
          <w:iCs/>
          <w:sz w:val="24"/>
          <w:szCs w:val="24"/>
        </w:rPr>
        <w:t xml:space="preserve">Differences relating to </w:t>
      </w:r>
      <w:r w:rsidRPr="00EA0903" w:rsidR="00404294">
        <w:rPr>
          <w:i/>
          <w:iCs/>
          <w:sz w:val="24"/>
          <w:szCs w:val="24"/>
        </w:rPr>
        <w:t>r</w:t>
      </w:r>
      <w:r w:rsidRPr="00EA0903">
        <w:rPr>
          <w:i/>
          <w:iCs/>
          <w:sz w:val="24"/>
          <w:szCs w:val="24"/>
        </w:rPr>
        <w:t>eligious</w:t>
      </w:r>
      <w:r w:rsidRPr="00EA0903" w:rsidR="009E562D">
        <w:rPr>
          <w:i/>
          <w:iCs/>
          <w:sz w:val="24"/>
          <w:szCs w:val="24"/>
        </w:rPr>
        <w:t xml:space="preserve"> </w:t>
      </w:r>
      <w:r w:rsidRPr="00EA0903" w:rsidR="00404294">
        <w:rPr>
          <w:i/>
          <w:iCs/>
          <w:sz w:val="24"/>
          <w:szCs w:val="24"/>
        </w:rPr>
        <w:t>b</w:t>
      </w:r>
      <w:r w:rsidRPr="00EA0903" w:rsidR="009E562D">
        <w:rPr>
          <w:i/>
          <w:iCs/>
          <w:sz w:val="24"/>
          <w:szCs w:val="24"/>
        </w:rPr>
        <w:t>eliefs</w:t>
      </w:r>
      <w:r w:rsidRPr="00EA0903">
        <w:rPr>
          <w:i/>
          <w:iCs/>
          <w:sz w:val="24"/>
          <w:szCs w:val="24"/>
        </w:rPr>
        <w:t xml:space="preserve"> an</w:t>
      </w:r>
      <w:r w:rsidRPr="00EA0903" w:rsidR="004A4F0D">
        <w:rPr>
          <w:i/>
          <w:iCs/>
          <w:sz w:val="24"/>
          <w:szCs w:val="24"/>
        </w:rPr>
        <w:t>d</w:t>
      </w:r>
      <w:r w:rsidRPr="00EA0903" w:rsidR="009E562D">
        <w:rPr>
          <w:i/>
          <w:iCs/>
          <w:sz w:val="24"/>
          <w:szCs w:val="24"/>
        </w:rPr>
        <w:t xml:space="preserve"> </w:t>
      </w:r>
      <w:r w:rsidRPr="00EA0903" w:rsidR="00404294">
        <w:rPr>
          <w:i/>
          <w:iCs/>
          <w:sz w:val="24"/>
          <w:szCs w:val="24"/>
        </w:rPr>
        <w:t>m</w:t>
      </w:r>
      <w:r w:rsidRPr="00EA0903" w:rsidR="009E562D">
        <w:rPr>
          <w:i/>
          <w:iCs/>
          <w:sz w:val="24"/>
          <w:szCs w:val="24"/>
        </w:rPr>
        <w:t>oral</w:t>
      </w:r>
      <w:r w:rsidRPr="00EA0903">
        <w:rPr>
          <w:i/>
          <w:iCs/>
          <w:sz w:val="24"/>
          <w:szCs w:val="24"/>
        </w:rPr>
        <w:t xml:space="preserve"> </w:t>
      </w:r>
      <w:r w:rsidRPr="00EA0903" w:rsidR="00404294">
        <w:rPr>
          <w:i/>
          <w:iCs/>
          <w:sz w:val="24"/>
          <w:szCs w:val="24"/>
        </w:rPr>
        <w:t>v</w:t>
      </w:r>
      <w:r w:rsidRPr="00EA0903">
        <w:rPr>
          <w:i/>
          <w:iCs/>
          <w:sz w:val="24"/>
          <w:szCs w:val="24"/>
        </w:rPr>
        <w:t>alue</w:t>
      </w:r>
      <w:r w:rsidRPr="00EA0903" w:rsidR="009E562D">
        <w:rPr>
          <w:i/>
          <w:iCs/>
          <w:sz w:val="24"/>
          <w:szCs w:val="24"/>
        </w:rPr>
        <w:t>s</w:t>
      </w:r>
      <w:r w:rsidRPr="00EA0903">
        <w:rPr>
          <w:i/>
          <w:iCs/>
          <w:sz w:val="24"/>
          <w:szCs w:val="24"/>
        </w:rPr>
        <w:t xml:space="preserve"> </w:t>
      </w:r>
    </w:p>
    <w:p w:rsidRPr="003D7964" w:rsidR="00AF0D63" w:rsidP="00187EF1" w:rsidRDefault="5101ECAB" w14:paraId="15381B6B" w14:textId="0846C606">
      <w:pPr>
        <w:pStyle w:val="Normal0"/>
        <w:numPr>
          <w:ilvl w:val="0"/>
          <w:numId w:val="2"/>
        </w:numPr>
        <w:jc w:val="both"/>
        <w:rPr>
          <w:rFonts w:ascii="Segoe UI" w:hAnsi="Segoe UI" w:cs="Segoe UI"/>
          <w:sz w:val="22"/>
          <w:szCs w:val="22"/>
        </w:rPr>
      </w:pPr>
      <w:r w:rsidRPr="090C4359">
        <w:rPr>
          <w:rFonts w:asciiTheme="minorHAnsi" w:hAnsiTheme="minorHAnsi" w:cstheme="minorBidi"/>
          <w:sz w:val="22"/>
          <w:szCs w:val="22"/>
        </w:rPr>
        <w:t xml:space="preserve"> </w:t>
      </w:r>
      <w:r w:rsidRPr="090C4359" w:rsidR="009E562D">
        <w:rPr>
          <w:rFonts w:asciiTheme="minorHAnsi" w:hAnsiTheme="minorHAnsi" w:cstheme="minorBidi"/>
          <w:sz w:val="22"/>
          <w:szCs w:val="22"/>
        </w:rPr>
        <w:t xml:space="preserve">Whilst </w:t>
      </w:r>
      <w:r w:rsidRPr="090C4359" w:rsidR="00A01169">
        <w:rPr>
          <w:rFonts w:asciiTheme="minorHAnsi" w:hAnsiTheme="minorHAnsi" w:cstheme="minorBidi"/>
          <w:sz w:val="22"/>
          <w:szCs w:val="22"/>
        </w:rPr>
        <w:t>some disagreements may turn on</w:t>
      </w:r>
      <w:r w:rsidRPr="090C4359" w:rsidR="00FD1322">
        <w:rPr>
          <w:rFonts w:asciiTheme="minorHAnsi" w:hAnsiTheme="minorHAnsi" w:cstheme="minorBidi"/>
          <w:sz w:val="22"/>
          <w:szCs w:val="22"/>
        </w:rPr>
        <w:t xml:space="preserve"> interpretations of</w:t>
      </w:r>
      <w:r w:rsidRPr="090C4359" w:rsidR="00A01169">
        <w:rPr>
          <w:rFonts w:asciiTheme="minorHAnsi" w:hAnsiTheme="minorHAnsi" w:cstheme="minorBidi"/>
          <w:sz w:val="22"/>
          <w:szCs w:val="22"/>
        </w:rPr>
        <w:t xml:space="preserve"> </w:t>
      </w:r>
      <w:r w:rsidRPr="090C4359" w:rsidR="00FD1322">
        <w:rPr>
          <w:rFonts w:asciiTheme="minorHAnsi" w:hAnsiTheme="minorHAnsi" w:cstheme="minorBidi"/>
          <w:sz w:val="22"/>
          <w:szCs w:val="22"/>
        </w:rPr>
        <w:t xml:space="preserve">“factual” issues, such as medical </w:t>
      </w:r>
      <w:r w:rsidRPr="090C4359" w:rsidR="007F3C1C">
        <w:rPr>
          <w:rFonts w:asciiTheme="minorHAnsi" w:hAnsiTheme="minorHAnsi" w:cstheme="minorBidi"/>
          <w:sz w:val="22"/>
          <w:szCs w:val="22"/>
        </w:rPr>
        <w:t>prognosis or treatment</w:t>
      </w:r>
      <w:r w:rsidRPr="090C4359" w:rsidR="009F4429">
        <w:rPr>
          <w:rFonts w:asciiTheme="minorHAnsi" w:hAnsiTheme="minorHAnsi" w:cstheme="minorBidi"/>
          <w:sz w:val="22"/>
          <w:szCs w:val="22"/>
        </w:rPr>
        <w:t>,</w:t>
      </w:r>
      <w:r w:rsidRPr="090C4359" w:rsidR="00F934D7">
        <w:rPr>
          <w:rFonts w:asciiTheme="minorHAnsi" w:hAnsiTheme="minorHAnsi" w:cstheme="minorBidi"/>
          <w:sz w:val="22"/>
          <w:szCs w:val="22"/>
        </w:rPr>
        <w:t xml:space="preserve"> </w:t>
      </w:r>
      <w:r w:rsidRPr="090C4359" w:rsidR="007F3C1C">
        <w:rPr>
          <w:rFonts w:asciiTheme="minorHAnsi" w:hAnsiTheme="minorHAnsi" w:cstheme="minorBidi"/>
          <w:sz w:val="22"/>
          <w:szCs w:val="22"/>
        </w:rPr>
        <w:t>in other</w:t>
      </w:r>
      <w:r w:rsidRPr="090C4359" w:rsidR="00B65A2F">
        <w:rPr>
          <w:rFonts w:asciiTheme="minorHAnsi" w:hAnsiTheme="minorHAnsi" w:cstheme="minorBidi"/>
          <w:sz w:val="22"/>
          <w:szCs w:val="22"/>
        </w:rPr>
        <w:t xml:space="preserve"> cases</w:t>
      </w:r>
      <w:r w:rsidRPr="090C4359" w:rsidR="007F3C1C">
        <w:rPr>
          <w:rFonts w:asciiTheme="minorHAnsi" w:hAnsiTheme="minorHAnsi" w:cstheme="minorBidi"/>
          <w:sz w:val="22"/>
          <w:szCs w:val="22"/>
        </w:rPr>
        <w:t xml:space="preserve"> r</w:t>
      </w:r>
      <w:r w:rsidRPr="090C4359" w:rsidR="00CA1942">
        <w:rPr>
          <w:rFonts w:asciiTheme="minorHAnsi" w:hAnsiTheme="minorHAnsi" w:cstheme="minorBidi"/>
          <w:sz w:val="22"/>
          <w:szCs w:val="22"/>
        </w:rPr>
        <w:t xml:space="preserve">eligious and value-based differences can </w:t>
      </w:r>
      <w:r w:rsidRPr="090C4359" w:rsidR="00760214">
        <w:rPr>
          <w:rFonts w:asciiTheme="minorHAnsi" w:hAnsiTheme="minorHAnsi" w:cstheme="minorBidi"/>
          <w:sz w:val="22"/>
          <w:szCs w:val="22"/>
        </w:rPr>
        <w:t>be a major factor</w:t>
      </w:r>
      <w:r w:rsidRPr="090C4359" w:rsidR="00CA1942">
        <w:rPr>
          <w:rFonts w:asciiTheme="minorHAnsi" w:hAnsiTheme="minorHAnsi" w:cstheme="minorBidi"/>
          <w:sz w:val="22"/>
          <w:szCs w:val="22"/>
        </w:rPr>
        <w:t xml:space="preserve"> in disagreement.</w:t>
      </w:r>
      <w:r w:rsidRPr="090C4359" w:rsidR="00760214">
        <w:rPr>
          <w:rStyle w:val="FootnoteReference"/>
          <w:rFonts w:asciiTheme="minorHAnsi" w:hAnsiTheme="minorHAnsi" w:cstheme="minorBidi"/>
          <w:sz w:val="22"/>
          <w:szCs w:val="22"/>
        </w:rPr>
        <w:footnoteReference w:id="69"/>
      </w:r>
      <w:r w:rsidRPr="090C4359" w:rsidR="00CA1942">
        <w:rPr>
          <w:rFonts w:asciiTheme="minorHAnsi" w:hAnsiTheme="minorHAnsi" w:cstheme="minorBidi"/>
          <w:sz w:val="22"/>
          <w:szCs w:val="22"/>
        </w:rPr>
        <w:t xml:space="preserve"> </w:t>
      </w:r>
      <w:r w:rsidRPr="090C4359" w:rsidR="00787879">
        <w:rPr>
          <w:rFonts w:asciiTheme="minorHAnsi" w:hAnsiTheme="minorHAnsi" w:cstheme="minorBidi"/>
          <w:sz w:val="22"/>
          <w:szCs w:val="22"/>
        </w:rPr>
        <w:t>Religious beliefs</w:t>
      </w:r>
      <w:r w:rsidRPr="090C4359" w:rsidR="00391C13">
        <w:rPr>
          <w:rFonts w:asciiTheme="minorHAnsi" w:hAnsiTheme="minorHAnsi" w:cstheme="minorBidi"/>
          <w:sz w:val="22"/>
          <w:szCs w:val="22"/>
        </w:rPr>
        <w:t xml:space="preserve"> may vary in their depth and impact on the life of the individual and thei</w:t>
      </w:r>
      <w:r w:rsidRPr="090C4359" w:rsidR="00DB7769">
        <w:rPr>
          <w:rFonts w:asciiTheme="minorHAnsi" w:hAnsiTheme="minorHAnsi" w:cstheme="minorBidi"/>
          <w:sz w:val="22"/>
          <w:szCs w:val="22"/>
        </w:rPr>
        <w:t>r</w:t>
      </w:r>
      <w:r w:rsidRPr="090C4359" w:rsidR="00391C13">
        <w:rPr>
          <w:rFonts w:asciiTheme="minorHAnsi" w:hAnsiTheme="minorHAnsi" w:cstheme="minorBidi"/>
          <w:sz w:val="22"/>
          <w:szCs w:val="22"/>
        </w:rPr>
        <w:t xml:space="preserve"> family. For some they are a core part of the</w:t>
      </w:r>
      <w:r w:rsidRPr="090C4359" w:rsidR="00DB7769">
        <w:rPr>
          <w:rFonts w:asciiTheme="minorHAnsi" w:hAnsiTheme="minorHAnsi" w:cstheme="minorBidi"/>
          <w:sz w:val="22"/>
          <w:szCs w:val="22"/>
        </w:rPr>
        <w:t xml:space="preserve"> parents’ identity and central to the vision with which they raise their family</w:t>
      </w:r>
      <w:r w:rsidRPr="090C4359" w:rsidR="005A4414">
        <w:rPr>
          <w:rFonts w:asciiTheme="minorHAnsi" w:hAnsiTheme="minorHAnsi" w:cstheme="minorBidi"/>
          <w:sz w:val="22"/>
          <w:szCs w:val="22"/>
        </w:rPr>
        <w:t>.</w:t>
      </w:r>
      <w:r w:rsidRPr="090C4359" w:rsidR="00DB7769">
        <w:rPr>
          <w:rFonts w:asciiTheme="minorHAnsi" w:hAnsiTheme="minorHAnsi" w:cstheme="minorBidi"/>
          <w:sz w:val="22"/>
          <w:szCs w:val="22"/>
        </w:rPr>
        <w:t xml:space="preserve"> </w:t>
      </w:r>
      <w:r w:rsidRPr="090C4359" w:rsidR="005A4414">
        <w:rPr>
          <w:rFonts w:asciiTheme="minorHAnsi" w:hAnsiTheme="minorHAnsi" w:cstheme="minorBidi"/>
          <w:sz w:val="22"/>
          <w:szCs w:val="22"/>
        </w:rPr>
        <w:t>F</w:t>
      </w:r>
      <w:r w:rsidRPr="090C4359" w:rsidR="00DB7769">
        <w:rPr>
          <w:rFonts w:asciiTheme="minorHAnsi" w:hAnsiTheme="minorHAnsi" w:cstheme="minorBidi"/>
          <w:sz w:val="22"/>
          <w:szCs w:val="22"/>
        </w:rPr>
        <w:t>or example</w:t>
      </w:r>
      <w:r w:rsidRPr="090C4359" w:rsidR="00760214">
        <w:rPr>
          <w:rFonts w:asciiTheme="minorHAnsi" w:hAnsiTheme="minorHAnsi" w:cstheme="minorBidi"/>
          <w:sz w:val="22"/>
          <w:szCs w:val="22"/>
        </w:rPr>
        <w:t>,</w:t>
      </w:r>
      <w:r w:rsidRPr="090C4359" w:rsidR="00DB7769">
        <w:rPr>
          <w:rFonts w:asciiTheme="minorHAnsi" w:hAnsiTheme="minorHAnsi" w:cstheme="minorBidi"/>
          <w:sz w:val="22"/>
          <w:szCs w:val="22"/>
        </w:rPr>
        <w:t xml:space="preserve"> in </w:t>
      </w:r>
      <w:r w:rsidRPr="090C4359" w:rsidR="00DB7769">
        <w:rPr>
          <w:rFonts w:asciiTheme="minorHAnsi" w:hAnsiTheme="minorHAnsi" w:cstheme="minorBidi"/>
          <w:i/>
          <w:iCs/>
          <w:sz w:val="22"/>
          <w:szCs w:val="22"/>
        </w:rPr>
        <w:t>Fi</w:t>
      </w:r>
      <w:r w:rsidRPr="090C4359" w:rsidR="00C54E10">
        <w:rPr>
          <w:rFonts w:asciiTheme="minorHAnsi" w:hAnsiTheme="minorHAnsi" w:cstheme="minorBidi"/>
          <w:i/>
          <w:iCs/>
          <w:sz w:val="22"/>
          <w:szCs w:val="22"/>
        </w:rPr>
        <w:t>xsler</w:t>
      </w:r>
      <w:r w:rsidRPr="090C4359" w:rsidR="00C54E10">
        <w:rPr>
          <w:rFonts w:asciiTheme="minorHAnsi" w:hAnsiTheme="minorHAnsi" w:cstheme="minorBidi"/>
          <w:sz w:val="22"/>
          <w:szCs w:val="22"/>
        </w:rPr>
        <w:t xml:space="preserve"> the parents stressed that</w:t>
      </w:r>
      <w:r w:rsidRPr="090C4359" w:rsidR="00C54E10">
        <w:rPr>
          <w:rFonts w:asciiTheme="minorHAnsi" w:hAnsiTheme="minorHAnsi" w:cstheme="minorBidi"/>
          <w:color w:val="000000"/>
          <w:sz w:val="22"/>
          <w:szCs w:val="22"/>
        </w:rPr>
        <w:t xml:space="preserve"> ‘their faith is not simply a religion but is also a way of life</w:t>
      </w:r>
      <w:r w:rsidRPr="090C4359" w:rsidR="00973C57">
        <w:rPr>
          <w:rFonts w:asciiTheme="minorHAnsi" w:hAnsiTheme="minorHAnsi" w:cstheme="minorBidi"/>
          <w:color w:val="000000"/>
          <w:sz w:val="22"/>
          <w:szCs w:val="22"/>
        </w:rPr>
        <w:t>’,</w:t>
      </w:r>
      <w:r w:rsidRPr="090C4359" w:rsidR="00C54E10">
        <w:rPr>
          <w:rStyle w:val="FootnoteReference"/>
          <w:rFonts w:asciiTheme="minorHAnsi" w:hAnsiTheme="minorHAnsi" w:cstheme="minorBidi"/>
          <w:color w:val="000000"/>
          <w:sz w:val="22"/>
          <w:szCs w:val="22"/>
        </w:rPr>
        <w:footnoteReference w:id="70"/>
      </w:r>
      <w:r w:rsidRPr="090C4359" w:rsidR="00973C57">
        <w:rPr>
          <w:rFonts w:asciiTheme="minorHAnsi" w:hAnsiTheme="minorHAnsi" w:cstheme="minorBidi"/>
          <w:color w:val="000000"/>
          <w:sz w:val="22"/>
          <w:szCs w:val="22"/>
        </w:rPr>
        <w:t xml:space="preserve"> and</w:t>
      </w:r>
      <w:r w:rsidRPr="090C4359" w:rsidR="00FB5A05">
        <w:rPr>
          <w:rFonts w:asciiTheme="minorHAnsi" w:hAnsiTheme="minorHAnsi" w:cstheme="minorBidi"/>
          <w:color w:val="000000"/>
          <w:sz w:val="22"/>
          <w:szCs w:val="22"/>
        </w:rPr>
        <w:t xml:space="preserve"> </w:t>
      </w:r>
      <w:r w:rsidRPr="090C4359" w:rsidR="00973C57">
        <w:rPr>
          <w:rFonts w:asciiTheme="minorHAnsi" w:hAnsiTheme="minorHAnsi" w:cstheme="minorBidi"/>
          <w:color w:val="000000"/>
          <w:sz w:val="22"/>
          <w:szCs w:val="22"/>
        </w:rPr>
        <w:t>argued that</w:t>
      </w:r>
      <w:r w:rsidRPr="090C4359" w:rsidR="00FB5A05">
        <w:rPr>
          <w:rFonts w:asciiTheme="minorHAnsi" w:hAnsiTheme="minorHAnsi" w:cstheme="minorBidi"/>
          <w:color w:val="000000"/>
          <w:sz w:val="22"/>
          <w:szCs w:val="22"/>
        </w:rPr>
        <w:t xml:space="preserve"> </w:t>
      </w:r>
      <w:r w:rsidRPr="090C4359" w:rsidR="000B4C3E">
        <w:rPr>
          <w:rFonts w:asciiTheme="minorHAnsi" w:hAnsiTheme="minorHAnsi" w:cstheme="minorBidi"/>
          <w:color w:val="000000"/>
          <w:sz w:val="22"/>
          <w:szCs w:val="22"/>
        </w:rPr>
        <w:t>their firm s</w:t>
      </w:r>
      <w:r w:rsidRPr="090C4359" w:rsidR="00351FD2">
        <w:rPr>
          <w:rFonts w:asciiTheme="minorHAnsi" w:hAnsiTheme="minorHAnsi" w:cstheme="minorBidi"/>
          <w:color w:val="000000"/>
          <w:sz w:val="22"/>
          <w:szCs w:val="22"/>
        </w:rPr>
        <w:t xml:space="preserve">tance on the sanctity of life and religious ritual around death meant that </w:t>
      </w:r>
      <w:r w:rsidRPr="090C4359" w:rsidR="00FB5A05">
        <w:rPr>
          <w:rFonts w:asciiTheme="minorHAnsi" w:hAnsiTheme="minorHAnsi" w:cstheme="minorBidi"/>
          <w:color w:val="000000"/>
          <w:sz w:val="22"/>
          <w:szCs w:val="22"/>
        </w:rPr>
        <w:t>‘the best interests decision-making process can and must be framed within the Jewish belief system in this case</w:t>
      </w:r>
      <w:r w:rsidRPr="090C4359" w:rsidR="003B15FE">
        <w:rPr>
          <w:rFonts w:asciiTheme="minorHAnsi" w:hAnsiTheme="minorHAnsi" w:cstheme="minorBidi"/>
          <w:color w:val="000000"/>
          <w:sz w:val="22"/>
          <w:szCs w:val="22"/>
        </w:rPr>
        <w:t>’ – a stance rejected by MacDonald J.</w:t>
      </w:r>
      <w:r w:rsidRPr="090C4359" w:rsidR="003B15FE">
        <w:rPr>
          <w:rStyle w:val="FootnoteReference"/>
          <w:rFonts w:asciiTheme="minorHAnsi" w:hAnsiTheme="minorHAnsi" w:cstheme="minorBidi"/>
          <w:color w:val="000000"/>
          <w:sz w:val="22"/>
          <w:szCs w:val="22"/>
        </w:rPr>
        <w:footnoteReference w:id="71"/>
      </w:r>
      <w:r w:rsidRPr="090C4359" w:rsidR="00280E31">
        <w:rPr>
          <w:rFonts w:asciiTheme="minorHAnsi" w:hAnsiTheme="minorHAnsi" w:cstheme="minorBidi"/>
          <w:color w:val="000000"/>
          <w:sz w:val="22"/>
          <w:szCs w:val="22"/>
        </w:rPr>
        <w:t xml:space="preserve"> </w:t>
      </w:r>
      <w:r w:rsidRPr="090C4359" w:rsidR="00ED5C83">
        <w:rPr>
          <w:rFonts w:asciiTheme="minorHAnsi" w:hAnsiTheme="minorHAnsi" w:cstheme="minorBidi"/>
          <w:color w:val="000000"/>
          <w:sz w:val="22"/>
          <w:szCs w:val="22"/>
        </w:rPr>
        <w:t>In response, Pruski contends that ‘</w:t>
      </w:r>
      <w:r w:rsidRPr="090C4359" w:rsidR="00ED5C83">
        <w:rPr>
          <w:rFonts w:asciiTheme="minorHAnsi" w:hAnsiTheme="minorHAnsi" w:cstheme="minorBidi"/>
          <w:sz w:val="22"/>
          <w:szCs w:val="22"/>
        </w:rPr>
        <w:t>it seems sensible for the role of religion in such judgments to be proportionate to the role religion played in the patient's life-in the case of a child of Orthodox Jewish parents, the role of religion is rather substantial.’</w:t>
      </w:r>
      <w:r w:rsidRPr="090C4359" w:rsidR="00ED5C83">
        <w:rPr>
          <w:rStyle w:val="FootnoteReference"/>
          <w:rFonts w:asciiTheme="minorHAnsi" w:hAnsiTheme="minorHAnsi" w:cstheme="minorBidi"/>
          <w:sz w:val="22"/>
          <w:szCs w:val="22"/>
        </w:rPr>
        <w:footnoteReference w:id="72"/>
      </w:r>
      <w:r w:rsidRPr="090C4359" w:rsidR="00A722F5">
        <w:rPr>
          <w:rFonts w:asciiTheme="minorHAnsi" w:hAnsiTheme="minorHAnsi" w:cstheme="minorBidi"/>
          <w:sz w:val="22"/>
          <w:szCs w:val="22"/>
        </w:rPr>
        <w:t xml:space="preserve"> </w:t>
      </w:r>
      <w:r w:rsidRPr="090C4359" w:rsidR="00785E9D">
        <w:rPr>
          <w:rFonts w:asciiTheme="minorHAnsi" w:hAnsiTheme="minorHAnsi" w:cstheme="minorBidi"/>
          <w:sz w:val="22"/>
          <w:szCs w:val="22"/>
        </w:rPr>
        <w:t xml:space="preserve">For others, such as the </w:t>
      </w:r>
      <w:r w:rsidRPr="090C4359" w:rsidR="00785E9D">
        <w:rPr>
          <w:rFonts w:asciiTheme="minorHAnsi" w:hAnsiTheme="minorHAnsi" w:cstheme="minorBidi"/>
          <w:i/>
          <w:iCs/>
          <w:sz w:val="22"/>
          <w:szCs w:val="22"/>
        </w:rPr>
        <w:t>Battersbee</w:t>
      </w:r>
      <w:r w:rsidRPr="090C4359" w:rsidR="00785E9D">
        <w:rPr>
          <w:rFonts w:asciiTheme="minorHAnsi" w:hAnsiTheme="minorHAnsi" w:cstheme="minorBidi"/>
          <w:sz w:val="22"/>
          <w:szCs w:val="22"/>
        </w:rPr>
        <w:t xml:space="preserve"> family </w:t>
      </w:r>
      <w:r w:rsidRPr="090C4359" w:rsidR="008B7DCC">
        <w:rPr>
          <w:rFonts w:asciiTheme="minorHAnsi" w:hAnsiTheme="minorHAnsi" w:cstheme="minorBidi"/>
          <w:sz w:val="22"/>
          <w:szCs w:val="22"/>
        </w:rPr>
        <w:t>who</w:t>
      </w:r>
      <w:r w:rsidRPr="090C4359" w:rsidR="00785E9D">
        <w:rPr>
          <w:rFonts w:asciiTheme="minorHAnsi" w:hAnsiTheme="minorHAnsi" w:cstheme="minorBidi"/>
          <w:sz w:val="22"/>
          <w:szCs w:val="22"/>
        </w:rPr>
        <w:t xml:space="preserve"> had been ‘vaguely Christian’</w:t>
      </w:r>
      <w:r w:rsidRPr="090C4359" w:rsidR="00972250">
        <w:rPr>
          <w:rFonts w:asciiTheme="minorHAnsi" w:hAnsiTheme="minorHAnsi" w:cstheme="minorBidi"/>
          <w:sz w:val="22"/>
          <w:szCs w:val="22"/>
        </w:rPr>
        <w:t xml:space="preserve"> but never regular churchgoers</w:t>
      </w:r>
      <w:r w:rsidRPr="090C4359" w:rsidR="00785E9D">
        <w:rPr>
          <w:rFonts w:asciiTheme="minorHAnsi" w:hAnsiTheme="minorHAnsi" w:cstheme="minorBidi"/>
          <w:sz w:val="22"/>
          <w:szCs w:val="22"/>
        </w:rPr>
        <w:t>,</w:t>
      </w:r>
      <w:r w:rsidRPr="090C4359" w:rsidR="00EF26D6">
        <w:rPr>
          <w:rStyle w:val="FootnoteReference"/>
          <w:rFonts w:asciiTheme="minorHAnsi" w:hAnsiTheme="minorHAnsi" w:cstheme="minorBidi"/>
          <w:sz w:val="22"/>
          <w:szCs w:val="22"/>
        </w:rPr>
        <w:footnoteReference w:id="73"/>
      </w:r>
      <w:r w:rsidRPr="090C4359" w:rsidR="00785E9D">
        <w:rPr>
          <w:rFonts w:asciiTheme="minorHAnsi" w:hAnsiTheme="minorHAnsi" w:cstheme="minorBidi"/>
          <w:sz w:val="22"/>
          <w:szCs w:val="22"/>
        </w:rPr>
        <w:t xml:space="preserve"> </w:t>
      </w:r>
      <w:r w:rsidRPr="090C4359" w:rsidR="008B7DCC">
        <w:rPr>
          <w:rFonts w:asciiTheme="minorHAnsi" w:hAnsiTheme="minorHAnsi" w:cstheme="minorBidi"/>
          <w:sz w:val="22"/>
          <w:szCs w:val="22"/>
        </w:rPr>
        <w:t>in the face of critical illness</w:t>
      </w:r>
      <w:r w:rsidRPr="090C4359" w:rsidR="00C04F1E">
        <w:rPr>
          <w:rFonts w:asciiTheme="minorHAnsi" w:hAnsiTheme="minorHAnsi" w:cstheme="minorBidi"/>
          <w:sz w:val="22"/>
          <w:szCs w:val="22"/>
        </w:rPr>
        <w:t xml:space="preserve"> </w:t>
      </w:r>
      <w:r w:rsidRPr="090C4359" w:rsidR="00785E9D">
        <w:rPr>
          <w:rFonts w:asciiTheme="minorHAnsi" w:hAnsiTheme="minorHAnsi" w:cstheme="minorBidi"/>
          <w:sz w:val="22"/>
          <w:szCs w:val="22"/>
        </w:rPr>
        <w:t>‘</w:t>
      </w:r>
      <w:r w:rsidRPr="090C4359" w:rsidR="002512E9">
        <w:rPr>
          <w:rFonts w:asciiTheme="minorHAnsi" w:hAnsiTheme="minorHAnsi" w:cstheme="minorBidi"/>
          <w:sz w:val="22"/>
          <w:szCs w:val="22"/>
        </w:rPr>
        <w:t>growing</w:t>
      </w:r>
      <w:r w:rsidRPr="090C4359" w:rsidR="00216D67">
        <w:rPr>
          <w:rFonts w:asciiTheme="minorHAnsi" w:hAnsiTheme="minorHAnsi" w:cstheme="minorBidi"/>
          <w:sz w:val="22"/>
          <w:szCs w:val="22"/>
        </w:rPr>
        <w:t xml:space="preserve"> religious views</w:t>
      </w:r>
      <w:r w:rsidRPr="090C4359" w:rsidR="00785E9D">
        <w:rPr>
          <w:rFonts w:asciiTheme="minorHAnsi" w:hAnsiTheme="minorHAnsi" w:cstheme="minorBidi"/>
          <w:sz w:val="22"/>
          <w:szCs w:val="22"/>
        </w:rPr>
        <w:t>’</w:t>
      </w:r>
      <w:r w:rsidRPr="090C4359" w:rsidR="0098028D">
        <w:rPr>
          <w:rFonts w:asciiTheme="minorHAnsi" w:hAnsiTheme="minorHAnsi" w:cstheme="minorBidi"/>
          <w:sz w:val="22"/>
          <w:szCs w:val="22"/>
        </w:rPr>
        <w:t xml:space="preserve"> were evident</w:t>
      </w:r>
      <w:r w:rsidRPr="090C4359" w:rsidR="009E6BA1">
        <w:rPr>
          <w:rFonts w:asciiTheme="minorHAnsi" w:hAnsiTheme="minorHAnsi" w:cstheme="minorBidi"/>
          <w:sz w:val="22"/>
          <w:szCs w:val="22"/>
        </w:rPr>
        <w:t>.</w:t>
      </w:r>
      <w:r w:rsidRPr="090C4359" w:rsidR="00DA0D07">
        <w:rPr>
          <w:rStyle w:val="FootnoteReference"/>
          <w:rFonts w:asciiTheme="minorHAnsi" w:hAnsiTheme="minorHAnsi" w:cstheme="minorBidi"/>
          <w:sz w:val="22"/>
          <w:szCs w:val="22"/>
        </w:rPr>
        <w:footnoteReference w:id="74"/>
      </w:r>
      <w:r w:rsidRPr="090C4359" w:rsidR="00C04F1E">
        <w:rPr>
          <w:rFonts w:asciiTheme="minorHAnsi" w:hAnsiTheme="minorHAnsi" w:cstheme="minorBidi"/>
          <w:sz w:val="22"/>
          <w:szCs w:val="22"/>
        </w:rPr>
        <w:t xml:space="preserve"> </w:t>
      </w:r>
      <w:r w:rsidRPr="090C4359" w:rsidR="00C04F1E">
        <w:rPr>
          <w:rFonts w:asciiTheme="minorHAnsi" w:hAnsiTheme="minorHAnsi" w:cstheme="minorBidi"/>
          <w:color w:val="000000"/>
          <w:sz w:val="22"/>
          <w:szCs w:val="22"/>
        </w:rPr>
        <w:t>Family baptisms were performed at Archie’s</w:t>
      </w:r>
      <w:r w:rsidRPr="003D7964" w:rsidR="00C04F1E">
        <w:rPr>
          <w:color w:val="000000"/>
          <w:sz w:val="22"/>
          <w:szCs w:val="22"/>
        </w:rPr>
        <w:t xml:space="preserve"> </w:t>
      </w:r>
      <w:r w:rsidRPr="090C4359" w:rsidR="00C04F1E">
        <w:rPr>
          <w:rFonts w:asciiTheme="minorHAnsi" w:hAnsiTheme="minorHAnsi" w:cstheme="minorBidi"/>
          <w:color w:val="000000"/>
          <w:sz w:val="22"/>
          <w:szCs w:val="22"/>
        </w:rPr>
        <w:t>bedside</w:t>
      </w:r>
      <w:r w:rsidRPr="090C4359" w:rsidR="00EF7146">
        <w:rPr>
          <w:rStyle w:val="FootnoteReference"/>
          <w:rFonts w:asciiTheme="minorHAnsi" w:hAnsiTheme="minorHAnsi" w:cstheme="minorBidi"/>
          <w:color w:val="000000"/>
          <w:sz w:val="22"/>
          <w:szCs w:val="22"/>
        </w:rPr>
        <w:footnoteReference w:id="75"/>
      </w:r>
      <w:r w:rsidRPr="090C4359" w:rsidR="00C04F1E">
        <w:rPr>
          <w:rFonts w:asciiTheme="minorHAnsi" w:hAnsiTheme="minorHAnsi" w:cstheme="minorBidi"/>
          <w:color w:val="000000"/>
          <w:sz w:val="22"/>
          <w:szCs w:val="22"/>
        </w:rPr>
        <w:t xml:space="preserve"> and they drew on religious posi</w:t>
      </w:r>
      <w:r w:rsidRPr="090C4359" w:rsidR="00AD3267">
        <w:rPr>
          <w:rFonts w:asciiTheme="minorHAnsi" w:hAnsiTheme="minorHAnsi" w:cstheme="minorBidi"/>
          <w:color w:val="000000"/>
          <w:sz w:val="22"/>
          <w:szCs w:val="22"/>
        </w:rPr>
        <w:t>tions, exemplified in statements such as</w:t>
      </w:r>
      <w:r w:rsidRPr="090C4359" w:rsidR="008154A8">
        <w:rPr>
          <w:rFonts w:asciiTheme="minorHAnsi" w:hAnsiTheme="minorHAnsi" w:cstheme="minorBidi"/>
          <w:color w:val="000000"/>
          <w:sz w:val="22"/>
          <w:szCs w:val="22"/>
        </w:rPr>
        <w:t xml:space="preserve"> ‘</w:t>
      </w:r>
      <w:r w:rsidRPr="090C4359" w:rsidR="001C200E">
        <w:rPr>
          <w:rFonts w:asciiTheme="minorHAnsi" w:hAnsiTheme="minorHAnsi" w:cstheme="minorBidi"/>
          <w:sz w:val="22"/>
          <w:szCs w:val="22"/>
        </w:rPr>
        <w:t>they would like him to die naturally in hospital as that accords with their Christian faith’</w:t>
      </w:r>
      <w:r w:rsidRPr="090C4359" w:rsidR="001C200E">
        <w:rPr>
          <w:rStyle w:val="FootnoteReference"/>
          <w:rFonts w:asciiTheme="minorHAnsi" w:hAnsiTheme="minorHAnsi" w:cstheme="minorBidi"/>
          <w:sz w:val="22"/>
          <w:szCs w:val="22"/>
        </w:rPr>
        <w:footnoteReference w:id="76"/>
      </w:r>
      <w:r w:rsidRPr="090C4359" w:rsidR="00387EAA">
        <w:rPr>
          <w:rFonts w:asciiTheme="minorHAnsi" w:hAnsiTheme="minorHAnsi" w:cstheme="minorBidi"/>
          <w:sz w:val="22"/>
          <w:szCs w:val="22"/>
        </w:rPr>
        <w:t xml:space="preserve"> </w:t>
      </w:r>
      <w:r w:rsidRPr="090C4359" w:rsidR="008E2A70">
        <w:rPr>
          <w:rFonts w:asciiTheme="minorHAnsi" w:hAnsiTheme="minorHAnsi" w:cstheme="minorBidi"/>
          <w:sz w:val="22"/>
          <w:szCs w:val="22"/>
        </w:rPr>
        <w:t>to support their objections.</w:t>
      </w:r>
      <w:r w:rsidRPr="003D7964" w:rsidR="00387EAA">
        <w:rPr>
          <w:sz w:val="22"/>
          <w:szCs w:val="22"/>
        </w:rPr>
        <w:t xml:space="preserve"> </w:t>
      </w:r>
    </w:p>
    <w:p w:rsidRPr="003D7964" w:rsidR="00F6019C" w:rsidP="00F6019C" w:rsidRDefault="00F6019C" w14:paraId="3D557E22" w14:textId="77777777">
      <w:pPr>
        <w:pStyle w:val="Normal0"/>
        <w:ind w:left="720"/>
        <w:rPr>
          <w:rFonts w:ascii="Segoe UI" w:hAnsi="Segoe UI" w:cs="Segoe UI"/>
          <w:sz w:val="22"/>
          <w:szCs w:val="22"/>
        </w:rPr>
      </w:pPr>
    </w:p>
    <w:p w:rsidRPr="00173E3D" w:rsidR="009B6DFD" w:rsidP="00187EF1" w:rsidRDefault="004178BF" w14:paraId="5AC14884" w14:textId="56475A13">
      <w:pPr>
        <w:pStyle w:val="Normal0"/>
        <w:numPr>
          <w:ilvl w:val="0"/>
          <w:numId w:val="2"/>
        </w:numPr>
        <w:jc w:val="both"/>
        <w:rPr>
          <w:rFonts w:cstheme="minorHAnsi"/>
          <w:color w:val="000000"/>
        </w:rPr>
      </w:pPr>
      <w:r w:rsidRPr="090C4359">
        <w:rPr>
          <w:rFonts w:asciiTheme="minorHAnsi" w:hAnsiTheme="minorHAnsi" w:cstheme="minorBidi"/>
          <w:sz w:val="22"/>
          <w:szCs w:val="22"/>
        </w:rPr>
        <w:t xml:space="preserve">Disagreement </w:t>
      </w:r>
      <w:r w:rsidRPr="090C4359" w:rsidR="00CF5398">
        <w:rPr>
          <w:rFonts w:asciiTheme="minorHAnsi" w:hAnsiTheme="minorHAnsi" w:cstheme="minorBidi"/>
          <w:sz w:val="22"/>
          <w:szCs w:val="22"/>
        </w:rPr>
        <w:t>can arise when healthcare profession</w:t>
      </w:r>
      <w:r w:rsidRPr="090C4359" w:rsidR="00A85EFE">
        <w:rPr>
          <w:rFonts w:asciiTheme="minorHAnsi" w:hAnsiTheme="minorHAnsi" w:cstheme="minorBidi"/>
          <w:sz w:val="22"/>
          <w:szCs w:val="22"/>
        </w:rPr>
        <w:t xml:space="preserve">als have </w:t>
      </w:r>
      <w:r w:rsidRPr="090C4359" w:rsidR="00B90662">
        <w:rPr>
          <w:rFonts w:asciiTheme="minorHAnsi" w:hAnsiTheme="minorHAnsi" w:cstheme="minorBidi"/>
          <w:sz w:val="22"/>
          <w:szCs w:val="22"/>
        </w:rPr>
        <w:t>‘</w:t>
      </w:r>
      <w:r w:rsidRPr="090C4359" w:rsidR="00A85EFE">
        <w:rPr>
          <w:rFonts w:asciiTheme="minorHAnsi" w:hAnsiTheme="minorHAnsi" w:cstheme="minorBidi"/>
          <w:sz w:val="22"/>
          <w:szCs w:val="22"/>
        </w:rPr>
        <w:t xml:space="preserve">limited </w:t>
      </w:r>
      <w:r w:rsidRPr="090C4359" w:rsidR="00127441">
        <w:rPr>
          <w:rFonts w:asciiTheme="minorHAnsi" w:hAnsiTheme="minorHAnsi" w:cstheme="minorBidi"/>
          <w:sz w:val="22"/>
          <w:szCs w:val="22"/>
        </w:rPr>
        <w:t>cultural understanding’ of religious belief</w:t>
      </w:r>
      <w:r w:rsidRPr="090C4359" w:rsidR="00B24142">
        <w:rPr>
          <w:rFonts w:asciiTheme="minorHAnsi" w:hAnsiTheme="minorHAnsi" w:cstheme="minorBidi"/>
          <w:sz w:val="22"/>
          <w:szCs w:val="22"/>
        </w:rPr>
        <w:t>, with</w:t>
      </w:r>
      <w:r w:rsidRPr="090C4359" w:rsidR="00DF100D">
        <w:rPr>
          <w:rFonts w:asciiTheme="minorHAnsi" w:hAnsiTheme="minorHAnsi" w:cstheme="minorBidi"/>
          <w:sz w:val="22"/>
          <w:szCs w:val="22"/>
        </w:rPr>
        <w:t xml:space="preserve"> the evidence suggesting that</w:t>
      </w:r>
      <w:r w:rsidRPr="090C4359" w:rsidR="005E56A0">
        <w:rPr>
          <w:rFonts w:asciiTheme="minorHAnsi" w:hAnsiTheme="minorHAnsi" w:cstheme="minorBidi"/>
          <w:sz w:val="22"/>
          <w:szCs w:val="22"/>
        </w:rPr>
        <w:t xml:space="preserve"> ‘</w:t>
      </w:r>
      <w:r w:rsidRPr="090C4359" w:rsidR="00DF100D">
        <w:rPr>
          <w:rFonts w:asciiTheme="minorHAnsi" w:hAnsiTheme="minorHAnsi" w:cstheme="minorBidi"/>
          <w:sz w:val="22"/>
          <w:szCs w:val="22"/>
        </w:rPr>
        <w:t>parents described feeling increasingly judged when religion plays an important part in their decision</w:t>
      </w:r>
      <w:r w:rsidRPr="090C4359" w:rsidR="003F57AA">
        <w:rPr>
          <w:rFonts w:asciiTheme="minorHAnsi" w:hAnsiTheme="minorHAnsi" w:cstheme="minorBidi"/>
          <w:sz w:val="22"/>
          <w:szCs w:val="22"/>
        </w:rPr>
        <w:t>-</w:t>
      </w:r>
      <w:r w:rsidRPr="090C4359" w:rsidR="00DF100D">
        <w:rPr>
          <w:rFonts w:asciiTheme="minorHAnsi" w:hAnsiTheme="minorHAnsi" w:cstheme="minorBidi"/>
          <w:sz w:val="22"/>
          <w:szCs w:val="22"/>
        </w:rPr>
        <w:t>making</w:t>
      </w:r>
      <w:r w:rsidRPr="090C4359" w:rsidR="005E56A0">
        <w:rPr>
          <w:rFonts w:asciiTheme="minorHAnsi" w:hAnsiTheme="minorHAnsi" w:cstheme="minorBidi"/>
          <w:sz w:val="22"/>
          <w:szCs w:val="22"/>
        </w:rPr>
        <w:t>’</w:t>
      </w:r>
      <w:r w:rsidRPr="090C4359" w:rsidR="00947FA3">
        <w:rPr>
          <w:rFonts w:asciiTheme="minorHAnsi" w:hAnsiTheme="minorHAnsi" w:cstheme="minorBidi"/>
          <w:sz w:val="22"/>
          <w:szCs w:val="22"/>
        </w:rPr>
        <w:t>.</w:t>
      </w:r>
      <w:r w:rsidRPr="090C4359" w:rsidR="005E56A0">
        <w:rPr>
          <w:rStyle w:val="FootnoteReference"/>
          <w:rFonts w:asciiTheme="minorHAnsi" w:hAnsiTheme="minorHAnsi" w:cstheme="minorBidi"/>
          <w:sz w:val="22"/>
          <w:szCs w:val="22"/>
        </w:rPr>
        <w:footnoteReference w:id="77"/>
      </w:r>
      <w:r w:rsidRPr="090C4359" w:rsidR="00947FA3">
        <w:rPr>
          <w:rFonts w:asciiTheme="minorHAnsi" w:hAnsiTheme="minorHAnsi" w:cstheme="minorBidi"/>
          <w:sz w:val="22"/>
          <w:szCs w:val="22"/>
        </w:rPr>
        <w:t xml:space="preserve"> Conflict may also arise in relation to </w:t>
      </w:r>
      <w:r w:rsidRPr="090C4359" w:rsidR="00DB0134">
        <w:rPr>
          <w:rFonts w:asciiTheme="minorHAnsi" w:hAnsiTheme="minorHAnsi" w:cstheme="minorBidi"/>
          <w:sz w:val="22"/>
          <w:szCs w:val="22"/>
        </w:rPr>
        <w:t>the child’s beliefs</w:t>
      </w:r>
      <w:r w:rsidRPr="090C4359" w:rsidR="00BF6B53">
        <w:rPr>
          <w:rFonts w:asciiTheme="minorHAnsi" w:hAnsiTheme="minorHAnsi" w:cstheme="minorBidi"/>
          <w:sz w:val="22"/>
          <w:szCs w:val="22"/>
        </w:rPr>
        <w:t>,</w:t>
      </w:r>
      <w:r w:rsidRPr="090C4359" w:rsidR="00DB0134">
        <w:rPr>
          <w:rFonts w:asciiTheme="minorHAnsi" w:hAnsiTheme="minorHAnsi" w:cstheme="minorBidi"/>
          <w:sz w:val="22"/>
          <w:szCs w:val="22"/>
        </w:rPr>
        <w:t xml:space="preserve"> and </w:t>
      </w:r>
      <w:r w:rsidRPr="090C4359" w:rsidR="002B2FC4">
        <w:rPr>
          <w:rFonts w:asciiTheme="minorHAnsi" w:hAnsiTheme="minorHAnsi" w:cstheme="minorBidi"/>
          <w:sz w:val="22"/>
          <w:szCs w:val="22"/>
        </w:rPr>
        <w:t>perceptions that</w:t>
      </w:r>
      <w:r w:rsidRPr="090C4359" w:rsidR="00DB0134">
        <w:rPr>
          <w:rFonts w:asciiTheme="minorHAnsi" w:hAnsiTheme="minorHAnsi" w:cstheme="minorBidi"/>
          <w:sz w:val="22"/>
          <w:szCs w:val="22"/>
        </w:rPr>
        <w:t xml:space="preserve"> the parents are “imposing” their beliefs on a child unable to develop their own faith</w:t>
      </w:r>
      <w:r w:rsidRPr="090C4359" w:rsidR="00BF6B53">
        <w:rPr>
          <w:rFonts w:asciiTheme="minorHAnsi" w:hAnsiTheme="minorHAnsi" w:cstheme="minorBidi"/>
          <w:sz w:val="22"/>
          <w:szCs w:val="22"/>
        </w:rPr>
        <w:t xml:space="preserve">. </w:t>
      </w:r>
      <w:r w:rsidRPr="090C4359" w:rsidR="00D10FD0">
        <w:rPr>
          <w:rFonts w:asciiTheme="minorHAnsi" w:hAnsiTheme="minorHAnsi" w:cstheme="minorBidi"/>
          <w:sz w:val="22"/>
          <w:szCs w:val="22"/>
        </w:rPr>
        <w:t xml:space="preserve">Reflecting on </w:t>
      </w:r>
      <w:r w:rsidRPr="090C4359" w:rsidR="00D10FD0">
        <w:rPr>
          <w:rFonts w:asciiTheme="minorHAnsi" w:hAnsiTheme="minorHAnsi" w:cstheme="minorBidi"/>
          <w:i/>
          <w:iCs/>
          <w:sz w:val="22"/>
          <w:szCs w:val="22"/>
        </w:rPr>
        <w:t>Fixsler</w:t>
      </w:r>
      <w:r w:rsidRPr="090C4359" w:rsidR="00D10FD0">
        <w:rPr>
          <w:rFonts w:asciiTheme="minorHAnsi" w:hAnsiTheme="minorHAnsi" w:cstheme="minorBidi"/>
          <w:sz w:val="22"/>
          <w:szCs w:val="22"/>
        </w:rPr>
        <w:t>,</w:t>
      </w:r>
      <w:r w:rsidRPr="090C4359" w:rsidR="00CB43ED">
        <w:rPr>
          <w:rFonts w:asciiTheme="minorHAnsi" w:hAnsiTheme="minorHAnsi" w:cstheme="minorBidi"/>
          <w:sz w:val="22"/>
          <w:szCs w:val="22"/>
        </w:rPr>
        <w:t xml:space="preserve"> Pruski notes</w:t>
      </w:r>
      <w:r w:rsidRPr="090C4359" w:rsidR="00D10FD0">
        <w:rPr>
          <w:rFonts w:asciiTheme="minorHAnsi" w:hAnsiTheme="minorHAnsi" w:cstheme="minorBidi"/>
          <w:sz w:val="22"/>
          <w:szCs w:val="22"/>
        </w:rPr>
        <w:t xml:space="preserve"> however</w:t>
      </w:r>
      <w:r w:rsidRPr="090C4359" w:rsidR="00CB43ED">
        <w:rPr>
          <w:rFonts w:asciiTheme="minorHAnsi" w:hAnsiTheme="minorHAnsi" w:cstheme="minorBidi"/>
          <w:sz w:val="22"/>
          <w:szCs w:val="22"/>
        </w:rPr>
        <w:t xml:space="preserve"> that </w:t>
      </w:r>
      <w:r w:rsidRPr="090C4359" w:rsidR="00CF3623">
        <w:rPr>
          <w:rFonts w:asciiTheme="minorHAnsi" w:hAnsiTheme="minorHAnsi" w:cstheme="minorBidi"/>
          <w:sz w:val="22"/>
          <w:szCs w:val="22"/>
        </w:rPr>
        <w:t xml:space="preserve">due to the influence of family life on a child’s values, assumed </w:t>
      </w:r>
      <w:r w:rsidRPr="090C4359" w:rsidR="005B0DFF">
        <w:rPr>
          <w:rFonts w:asciiTheme="minorHAnsi" w:hAnsiTheme="minorHAnsi" w:cstheme="minorBidi"/>
          <w:sz w:val="22"/>
          <w:szCs w:val="22"/>
        </w:rPr>
        <w:t xml:space="preserve"> parent-child </w:t>
      </w:r>
      <w:r w:rsidRPr="090C4359" w:rsidR="00CF3623">
        <w:rPr>
          <w:rFonts w:asciiTheme="minorHAnsi" w:hAnsiTheme="minorHAnsi" w:cstheme="minorBidi"/>
          <w:sz w:val="22"/>
          <w:szCs w:val="22"/>
        </w:rPr>
        <w:t>congruence in religious belief is warranted</w:t>
      </w:r>
      <w:r w:rsidRPr="090C4359" w:rsidR="005B0DFF">
        <w:rPr>
          <w:rFonts w:asciiTheme="minorHAnsi" w:hAnsiTheme="minorHAnsi" w:cstheme="minorBidi"/>
          <w:sz w:val="22"/>
          <w:szCs w:val="22"/>
        </w:rPr>
        <w:t>,</w:t>
      </w:r>
      <w:r w:rsidRPr="090C4359" w:rsidR="00CF3623">
        <w:rPr>
          <w:rFonts w:asciiTheme="minorHAnsi" w:hAnsiTheme="minorHAnsi" w:cstheme="minorBidi"/>
          <w:sz w:val="22"/>
          <w:szCs w:val="22"/>
        </w:rPr>
        <w:t xml:space="preserve"> and that statistically </w:t>
      </w:r>
      <w:r w:rsidRPr="090C4359" w:rsidR="009B1E6C">
        <w:rPr>
          <w:rFonts w:asciiTheme="minorHAnsi" w:hAnsiTheme="minorHAnsi" w:cstheme="minorBidi"/>
          <w:sz w:val="22"/>
          <w:szCs w:val="22"/>
        </w:rPr>
        <w:t>it is most likely that children like Alta would retain their Jewish faith</w:t>
      </w:r>
      <w:r w:rsidRPr="090C4359" w:rsidR="005A74AB">
        <w:rPr>
          <w:rFonts w:asciiTheme="minorHAnsi" w:hAnsiTheme="minorHAnsi" w:cstheme="minorBidi"/>
          <w:sz w:val="22"/>
          <w:szCs w:val="22"/>
        </w:rPr>
        <w:t>.</w:t>
      </w:r>
      <w:r w:rsidRPr="090C4359" w:rsidR="00931EA7">
        <w:rPr>
          <w:rStyle w:val="FootnoteReference"/>
          <w:rFonts w:asciiTheme="minorHAnsi" w:hAnsiTheme="minorHAnsi" w:cstheme="minorBidi"/>
          <w:sz w:val="22"/>
          <w:szCs w:val="22"/>
        </w:rPr>
        <w:footnoteReference w:id="78"/>
      </w:r>
      <w:r w:rsidRPr="090C4359" w:rsidR="00322754">
        <w:rPr>
          <w:rFonts w:asciiTheme="minorHAnsi" w:hAnsiTheme="minorHAnsi" w:cstheme="minorBidi"/>
          <w:sz w:val="22"/>
          <w:szCs w:val="22"/>
        </w:rPr>
        <w:t xml:space="preserve"> </w:t>
      </w:r>
      <w:r w:rsidRPr="090C4359" w:rsidR="003E3592">
        <w:rPr>
          <w:rFonts w:asciiTheme="minorHAnsi" w:hAnsiTheme="minorHAnsi" w:cstheme="minorBidi"/>
          <w:sz w:val="22"/>
          <w:szCs w:val="22"/>
        </w:rPr>
        <w:t>This</w:t>
      </w:r>
      <w:r w:rsidRPr="090C4359" w:rsidR="00DD453C">
        <w:rPr>
          <w:rFonts w:asciiTheme="minorHAnsi" w:hAnsiTheme="minorHAnsi" w:cstheme="minorBidi"/>
          <w:sz w:val="22"/>
          <w:szCs w:val="22"/>
        </w:rPr>
        <w:t xml:space="preserve"> </w:t>
      </w:r>
      <w:r w:rsidRPr="090C4359" w:rsidR="00477F17">
        <w:rPr>
          <w:rFonts w:asciiTheme="minorHAnsi" w:hAnsiTheme="minorHAnsi" w:cstheme="minorBidi"/>
          <w:sz w:val="22"/>
          <w:szCs w:val="22"/>
        </w:rPr>
        <w:t>issue</w:t>
      </w:r>
      <w:r w:rsidRPr="090C4359" w:rsidR="003E3592">
        <w:rPr>
          <w:rFonts w:asciiTheme="minorHAnsi" w:hAnsiTheme="minorHAnsi" w:cstheme="minorBidi"/>
          <w:sz w:val="22"/>
          <w:szCs w:val="22"/>
        </w:rPr>
        <w:t xml:space="preserve"> was</w:t>
      </w:r>
      <w:r w:rsidRPr="090C4359" w:rsidR="00DD453C">
        <w:rPr>
          <w:rFonts w:asciiTheme="minorHAnsi" w:hAnsiTheme="minorHAnsi" w:cstheme="minorBidi"/>
          <w:sz w:val="22"/>
          <w:szCs w:val="22"/>
        </w:rPr>
        <w:t xml:space="preserve"> tackled by the courts in both </w:t>
      </w:r>
      <w:r w:rsidRPr="090C4359" w:rsidR="00DD453C">
        <w:rPr>
          <w:rFonts w:asciiTheme="minorHAnsi" w:hAnsiTheme="minorHAnsi" w:cstheme="minorBidi"/>
          <w:i/>
          <w:iCs/>
          <w:sz w:val="22"/>
          <w:szCs w:val="22"/>
        </w:rPr>
        <w:t>Raqeeb</w:t>
      </w:r>
      <w:r w:rsidRPr="090C4359" w:rsidR="00DD453C">
        <w:rPr>
          <w:rFonts w:asciiTheme="minorHAnsi" w:hAnsiTheme="minorHAnsi" w:cstheme="minorBidi"/>
          <w:sz w:val="22"/>
          <w:szCs w:val="22"/>
        </w:rPr>
        <w:t xml:space="preserve"> and </w:t>
      </w:r>
      <w:r w:rsidRPr="090C4359" w:rsidR="00DD453C">
        <w:rPr>
          <w:rFonts w:asciiTheme="minorHAnsi" w:hAnsiTheme="minorHAnsi" w:cstheme="minorBidi"/>
          <w:i/>
          <w:iCs/>
          <w:sz w:val="22"/>
          <w:szCs w:val="22"/>
        </w:rPr>
        <w:t>Fixsler</w:t>
      </w:r>
      <w:r w:rsidRPr="090C4359" w:rsidR="003E3592">
        <w:rPr>
          <w:rFonts w:asciiTheme="minorHAnsi" w:hAnsiTheme="minorHAnsi" w:cstheme="minorBidi"/>
          <w:i/>
          <w:iCs/>
          <w:sz w:val="22"/>
          <w:szCs w:val="22"/>
        </w:rPr>
        <w:t>,</w:t>
      </w:r>
      <w:r w:rsidRPr="090C4359" w:rsidR="003D7964">
        <w:rPr>
          <w:rFonts w:asciiTheme="minorHAnsi" w:hAnsiTheme="minorHAnsi" w:cstheme="minorBidi"/>
          <w:sz w:val="22"/>
          <w:szCs w:val="22"/>
        </w:rPr>
        <w:t xml:space="preserve"> </w:t>
      </w:r>
      <w:r w:rsidRPr="090C4359" w:rsidR="003E3592">
        <w:rPr>
          <w:rFonts w:asciiTheme="minorHAnsi" w:hAnsiTheme="minorHAnsi" w:cstheme="minorBidi"/>
          <w:sz w:val="22"/>
          <w:szCs w:val="22"/>
        </w:rPr>
        <w:t>with judicial position</w:t>
      </w:r>
      <w:r w:rsidRPr="090C4359" w:rsidR="004F38EE">
        <w:rPr>
          <w:rFonts w:asciiTheme="minorHAnsi" w:hAnsiTheme="minorHAnsi" w:cstheme="minorBidi"/>
          <w:sz w:val="22"/>
          <w:szCs w:val="22"/>
        </w:rPr>
        <w:t>s</w:t>
      </w:r>
      <w:r w:rsidRPr="090C4359" w:rsidR="003E3592">
        <w:rPr>
          <w:rFonts w:asciiTheme="minorHAnsi" w:hAnsiTheme="minorHAnsi" w:cstheme="minorBidi"/>
          <w:sz w:val="22"/>
          <w:szCs w:val="22"/>
        </w:rPr>
        <w:t xml:space="preserve"> tied to an </w:t>
      </w:r>
      <w:r w:rsidRPr="090C4359" w:rsidR="00426A9E">
        <w:rPr>
          <w:rFonts w:asciiTheme="minorHAnsi" w:hAnsiTheme="minorHAnsi" w:cstheme="minorBidi"/>
          <w:sz w:val="22"/>
          <w:szCs w:val="22"/>
        </w:rPr>
        <w:t>assertion of the secular nature of</w:t>
      </w:r>
      <w:r w:rsidRPr="090C4359" w:rsidR="0051128D">
        <w:rPr>
          <w:rFonts w:asciiTheme="minorHAnsi" w:hAnsiTheme="minorHAnsi" w:cstheme="minorBidi"/>
          <w:sz w:val="22"/>
          <w:szCs w:val="22"/>
        </w:rPr>
        <w:t xml:space="preserve"> best interests determinations</w:t>
      </w:r>
      <w:r w:rsidRPr="090C4359" w:rsidR="00742F54">
        <w:rPr>
          <w:rFonts w:asciiTheme="minorHAnsi" w:hAnsiTheme="minorHAnsi" w:cstheme="minorBidi"/>
          <w:sz w:val="22"/>
          <w:szCs w:val="22"/>
        </w:rPr>
        <w:t>.</w:t>
      </w:r>
      <w:r w:rsidRPr="090C4359" w:rsidR="009A3374">
        <w:rPr>
          <w:rFonts w:asciiTheme="minorHAnsi" w:hAnsiTheme="minorHAnsi" w:cstheme="minorBidi"/>
          <w:sz w:val="22"/>
          <w:szCs w:val="22"/>
        </w:rPr>
        <w:t xml:space="preserve"> Pruski </w:t>
      </w:r>
      <w:r w:rsidRPr="090C4359" w:rsidR="0027740F">
        <w:rPr>
          <w:rFonts w:asciiTheme="minorHAnsi" w:hAnsiTheme="minorHAnsi" w:cstheme="minorBidi"/>
          <w:sz w:val="22"/>
          <w:szCs w:val="22"/>
        </w:rPr>
        <w:t>views the judicial rejection of the religious in favour of the secular</w:t>
      </w:r>
      <w:r w:rsidRPr="090C4359" w:rsidR="00477F17">
        <w:rPr>
          <w:rFonts w:asciiTheme="minorHAnsi" w:hAnsiTheme="minorHAnsi" w:cstheme="minorBidi"/>
          <w:sz w:val="22"/>
          <w:szCs w:val="22"/>
        </w:rPr>
        <w:t xml:space="preserve"> in </w:t>
      </w:r>
      <w:r w:rsidRPr="090C4359" w:rsidR="00477F17">
        <w:rPr>
          <w:rFonts w:asciiTheme="minorHAnsi" w:hAnsiTheme="minorHAnsi" w:cstheme="minorBidi"/>
          <w:i/>
          <w:iCs/>
          <w:sz w:val="22"/>
          <w:szCs w:val="22"/>
        </w:rPr>
        <w:t>Fixsler</w:t>
      </w:r>
      <w:r w:rsidRPr="090C4359" w:rsidR="00477F17">
        <w:rPr>
          <w:rFonts w:asciiTheme="minorHAnsi" w:hAnsiTheme="minorHAnsi" w:cstheme="minorBidi"/>
          <w:sz w:val="22"/>
          <w:szCs w:val="22"/>
        </w:rPr>
        <w:t xml:space="preserve"> </w:t>
      </w:r>
      <w:r w:rsidRPr="090C4359" w:rsidR="00601BD9">
        <w:rPr>
          <w:rFonts w:asciiTheme="minorHAnsi" w:hAnsiTheme="minorHAnsi" w:cstheme="minorBidi"/>
          <w:sz w:val="22"/>
          <w:szCs w:val="22"/>
        </w:rPr>
        <w:t xml:space="preserve"> as ‘paternalism’</w:t>
      </w:r>
      <w:r w:rsidRPr="090C4359" w:rsidR="0031583C">
        <w:rPr>
          <w:rFonts w:asciiTheme="minorHAnsi" w:hAnsiTheme="minorHAnsi" w:cstheme="minorBidi"/>
          <w:sz w:val="22"/>
          <w:szCs w:val="22"/>
        </w:rPr>
        <w:t>,</w:t>
      </w:r>
      <w:r w:rsidRPr="090C4359" w:rsidR="00601BD9">
        <w:rPr>
          <w:rStyle w:val="FootnoteReference"/>
          <w:rFonts w:asciiTheme="minorHAnsi" w:hAnsiTheme="minorHAnsi" w:cstheme="minorBidi"/>
          <w:sz w:val="22"/>
          <w:szCs w:val="22"/>
        </w:rPr>
        <w:footnoteReference w:id="79"/>
      </w:r>
      <w:r w:rsidRPr="090C4359" w:rsidR="0031583C">
        <w:rPr>
          <w:rFonts w:asciiTheme="minorHAnsi" w:hAnsiTheme="minorHAnsi" w:cstheme="minorBidi"/>
          <w:sz w:val="22"/>
          <w:szCs w:val="22"/>
        </w:rPr>
        <w:t xml:space="preserve"> and contends that</w:t>
      </w:r>
      <w:r w:rsidRPr="090C4359" w:rsidR="00EE4047">
        <w:rPr>
          <w:rFonts w:asciiTheme="minorHAnsi" w:hAnsiTheme="minorHAnsi" w:cstheme="minorBidi"/>
          <w:sz w:val="22"/>
          <w:szCs w:val="22"/>
        </w:rPr>
        <w:t xml:space="preserve"> a secular state is only compelled not to enforce a particular religious view</w:t>
      </w:r>
      <w:r w:rsidRPr="090C4359" w:rsidR="00B06B76">
        <w:rPr>
          <w:rFonts w:asciiTheme="minorHAnsi" w:hAnsiTheme="minorHAnsi" w:cstheme="minorBidi"/>
          <w:sz w:val="22"/>
          <w:szCs w:val="22"/>
        </w:rPr>
        <w:t>, not to deem that religious convictions are irrelevant.</w:t>
      </w:r>
      <w:r w:rsidRPr="090C4359" w:rsidR="00C57576">
        <w:rPr>
          <w:rStyle w:val="FootnoteReference"/>
          <w:rFonts w:asciiTheme="minorHAnsi" w:hAnsiTheme="minorHAnsi" w:cstheme="minorBidi"/>
          <w:sz w:val="22"/>
          <w:szCs w:val="22"/>
        </w:rPr>
        <w:footnoteReference w:id="80"/>
      </w:r>
      <w:r w:rsidRPr="090C4359" w:rsidR="008B24E8">
        <w:rPr>
          <w:rFonts w:asciiTheme="minorHAnsi" w:hAnsiTheme="minorHAnsi" w:cstheme="minorBidi"/>
          <w:sz w:val="22"/>
          <w:szCs w:val="22"/>
        </w:rPr>
        <w:t xml:space="preserve"> </w:t>
      </w:r>
      <w:r w:rsidRPr="090C4359" w:rsidR="00D544F6">
        <w:rPr>
          <w:rFonts w:asciiTheme="minorHAnsi" w:hAnsiTheme="minorHAnsi" w:cstheme="minorBidi"/>
          <w:sz w:val="22"/>
          <w:szCs w:val="22"/>
        </w:rPr>
        <w:t>This is a</w:t>
      </w:r>
      <w:r w:rsidRPr="090C4359" w:rsidR="008B24E8">
        <w:rPr>
          <w:rFonts w:asciiTheme="minorHAnsi" w:hAnsiTheme="minorHAnsi" w:cstheme="minorBidi"/>
          <w:sz w:val="22"/>
          <w:szCs w:val="22"/>
        </w:rPr>
        <w:t xml:space="preserve"> position also taken by Auckland and Goold who</w:t>
      </w:r>
      <w:r w:rsidRPr="090C4359" w:rsidR="00FA3EA3">
        <w:rPr>
          <w:rFonts w:asciiTheme="minorHAnsi" w:hAnsiTheme="minorHAnsi" w:cstheme="minorBidi"/>
          <w:sz w:val="22"/>
          <w:szCs w:val="22"/>
        </w:rPr>
        <w:t>,</w:t>
      </w:r>
      <w:r w:rsidRPr="090C4359" w:rsidR="008B24E8">
        <w:rPr>
          <w:rFonts w:asciiTheme="minorHAnsi" w:hAnsiTheme="minorHAnsi" w:cstheme="minorBidi"/>
          <w:sz w:val="22"/>
          <w:szCs w:val="22"/>
        </w:rPr>
        <w:t xml:space="preserve"> drawing on Heywood’s work</w:t>
      </w:r>
      <w:r w:rsidRPr="090C4359" w:rsidR="00FA3EA3">
        <w:rPr>
          <w:rFonts w:asciiTheme="minorHAnsi" w:hAnsiTheme="minorHAnsi" w:cstheme="minorBidi"/>
          <w:sz w:val="22"/>
          <w:szCs w:val="22"/>
        </w:rPr>
        <w:t>,</w:t>
      </w:r>
      <w:r w:rsidRPr="090C4359" w:rsidR="00F7732F">
        <w:rPr>
          <w:rStyle w:val="FootnoteReference"/>
          <w:rFonts w:asciiTheme="minorHAnsi" w:hAnsiTheme="minorHAnsi" w:cstheme="minorBidi"/>
          <w:sz w:val="22"/>
          <w:szCs w:val="22"/>
        </w:rPr>
        <w:footnoteReference w:id="81"/>
      </w:r>
      <w:r w:rsidRPr="090C4359" w:rsidR="008B24E8">
        <w:rPr>
          <w:rFonts w:asciiTheme="minorHAnsi" w:hAnsiTheme="minorHAnsi" w:cstheme="minorBidi"/>
          <w:sz w:val="22"/>
          <w:szCs w:val="22"/>
        </w:rPr>
        <w:t xml:space="preserve"> claim that ‘if the law is to take seriously views about freedom of religion, expression, and the right to respect for private and family life, it must attach genuine signiﬁcance to medical decisions which are underpinned by those values, values which the English courts have only ever tipped their hats to in the evolving case law’.</w:t>
      </w:r>
      <w:r w:rsidRPr="090C4359" w:rsidR="008B24E8">
        <w:rPr>
          <w:rStyle w:val="FootnoteReference"/>
          <w:rFonts w:asciiTheme="minorHAnsi" w:hAnsiTheme="minorHAnsi" w:cstheme="minorBidi"/>
          <w:sz w:val="22"/>
          <w:szCs w:val="22"/>
        </w:rPr>
        <w:footnoteReference w:id="82"/>
      </w:r>
    </w:p>
    <w:p w:rsidRPr="00173E3D" w:rsidR="00173E3D" w:rsidP="00173E3D" w:rsidRDefault="00173E3D" w14:paraId="0A5781D1" w14:textId="77777777">
      <w:pPr>
        <w:pStyle w:val="Normal0"/>
        <w:ind w:left="360"/>
        <w:rPr>
          <w:rFonts w:cstheme="minorHAnsi"/>
          <w:color w:val="000000"/>
        </w:rPr>
      </w:pPr>
    </w:p>
    <w:p w:rsidRPr="00173E3D" w:rsidR="00C13D7A" w:rsidP="00187EF1" w:rsidRDefault="00C13D7A" w14:paraId="7EADF4A6" w14:textId="4E9A9F3F">
      <w:pPr>
        <w:pStyle w:val="Normal0"/>
        <w:numPr>
          <w:ilvl w:val="0"/>
          <w:numId w:val="2"/>
        </w:numPr>
        <w:jc w:val="both"/>
        <w:rPr>
          <w:rFonts w:asciiTheme="minorHAnsi" w:hAnsiTheme="minorHAnsi" w:cstheme="minorBidi"/>
          <w:color w:val="000000"/>
          <w:sz w:val="22"/>
          <w:szCs w:val="22"/>
        </w:rPr>
      </w:pPr>
      <w:r w:rsidRPr="090C4359">
        <w:rPr>
          <w:rFonts w:asciiTheme="minorHAnsi" w:hAnsiTheme="minorHAnsi" w:cstheme="minorBidi"/>
          <w:sz w:val="22"/>
          <w:szCs w:val="22"/>
        </w:rPr>
        <w:t xml:space="preserve">Dolan et al have undertaken a study to determine links between parental psychological distress and </w:t>
      </w:r>
      <w:r w:rsidRPr="090C4359" w:rsidR="00F24A19">
        <w:rPr>
          <w:rFonts w:asciiTheme="minorHAnsi" w:hAnsiTheme="minorHAnsi" w:cstheme="minorBidi"/>
          <w:sz w:val="22"/>
          <w:szCs w:val="22"/>
        </w:rPr>
        <w:t>“</w:t>
      </w:r>
      <w:r w:rsidRPr="090C4359">
        <w:rPr>
          <w:rFonts w:asciiTheme="minorHAnsi" w:hAnsiTheme="minorHAnsi" w:cstheme="minorBidi"/>
          <w:sz w:val="22"/>
          <w:szCs w:val="22"/>
        </w:rPr>
        <w:t>religious coping</w:t>
      </w:r>
      <w:r w:rsidRPr="090C4359" w:rsidR="00561A69">
        <w:rPr>
          <w:rFonts w:asciiTheme="minorHAnsi" w:hAnsiTheme="minorHAnsi" w:cstheme="minorBidi"/>
          <w:sz w:val="22"/>
          <w:szCs w:val="22"/>
        </w:rPr>
        <w:t>”</w:t>
      </w:r>
      <w:r w:rsidRPr="090C4359" w:rsidR="006173B7">
        <w:rPr>
          <w:rFonts w:asciiTheme="minorHAnsi" w:hAnsiTheme="minorHAnsi" w:cstheme="minorBidi"/>
          <w:sz w:val="22"/>
          <w:szCs w:val="22"/>
        </w:rPr>
        <w:t xml:space="preserve">, which they define as </w:t>
      </w:r>
      <w:r w:rsidRPr="090C4359" w:rsidR="00D37C8F">
        <w:rPr>
          <w:rFonts w:asciiTheme="minorHAnsi" w:hAnsiTheme="minorHAnsi" w:cstheme="minorBidi"/>
          <w:sz w:val="22"/>
          <w:szCs w:val="22"/>
        </w:rPr>
        <w:t>‘</w:t>
      </w:r>
      <w:r w:rsidRPr="090C4359" w:rsidR="006173B7">
        <w:rPr>
          <w:rFonts w:asciiTheme="minorHAnsi" w:hAnsiTheme="minorHAnsi" w:cstheme="minorBidi"/>
          <w:sz w:val="22"/>
          <w:szCs w:val="22"/>
        </w:rPr>
        <w:t>an individual’s effort to understand adversity in</w:t>
      </w:r>
      <w:r w:rsidRPr="090C4359" w:rsidR="00D37C8F">
        <w:rPr>
          <w:rFonts w:asciiTheme="minorHAnsi" w:hAnsiTheme="minorHAnsi" w:cstheme="minorBidi"/>
          <w:sz w:val="22"/>
          <w:szCs w:val="22"/>
        </w:rPr>
        <w:t xml:space="preserve"> </w:t>
      </w:r>
      <w:r w:rsidRPr="090C4359" w:rsidR="006173B7">
        <w:rPr>
          <w:rFonts w:asciiTheme="minorHAnsi" w:hAnsiTheme="minorHAnsi" w:cstheme="minorBidi"/>
          <w:sz w:val="22"/>
          <w:szCs w:val="22"/>
        </w:rPr>
        <w:t>ways related to the sacred</w:t>
      </w:r>
      <w:r w:rsidRPr="090C4359" w:rsidR="004E43BF">
        <w:rPr>
          <w:rFonts w:asciiTheme="minorHAnsi" w:hAnsiTheme="minorHAnsi" w:cstheme="minorBidi"/>
          <w:sz w:val="22"/>
          <w:szCs w:val="22"/>
        </w:rPr>
        <w:t>.’</w:t>
      </w:r>
      <w:r w:rsidRPr="090C4359" w:rsidR="00280341">
        <w:rPr>
          <w:rStyle w:val="FootnoteReference"/>
          <w:rFonts w:asciiTheme="minorHAnsi" w:hAnsiTheme="minorHAnsi" w:cstheme="minorBidi"/>
          <w:sz w:val="22"/>
          <w:szCs w:val="22"/>
        </w:rPr>
        <w:footnoteReference w:id="83"/>
      </w:r>
      <w:r w:rsidRPr="090C4359" w:rsidR="006173B7">
        <w:rPr>
          <w:rFonts w:asciiTheme="minorHAnsi" w:hAnsiTheme="minorHAnsi" w:cstheme="minorBidi"/>
          <w:sz w:val="22"/>
          <w:szCs w:val="22"/>
        </w:rPr>
        <w:t xml:space="preserve"> Religious coping is a dynamic process that encompasses </w:t>
      </w:r>
      <w:r w:rsidRPr="090C4359" w:rsidR="142A9B92">
        <w:rPr>
          <w:rFonts w:asciiTheme="minorHAnsi" w:hAnsiTheme="minorHAnsi" w:cstheme="minorBidi"/>
          <w:sz w:val="22"/>
          <w:szCs w:val="22"/>
        </w:rPr>
        <w:t>behaviours</w:t>
      </w:r>
      <w:r w:rsidRPr="090C4359" w:rsidR="006173B7">
        <w:rPr>
          <w:rFonts w:asciiTheme="minorHAnsi" w:hAnsiTheme="minorHAnsi" w:cstheme="minorBidi"/>
          <w:sz w:val="22"/>
          <w:szCs w:val="22"/>
        </w:rPr>
        <w:t>, emotions, relationships, and cognition. The process manifests in two different forms: positive and negative religious coping</w:t>
      </w:r>
      <w:r w:rsidRPr="090C4359" w:rsidR="00173E3D">
        <w:rPr>
          <w:rFonts w:asciiTheme="minorHAnsi" w:hAnsiTheme="minorHAnsi" w:cstheme="minorBidi"/>
          <w:sz w:val="22"/>
          <w:szCs w:val="22"/>
        </w:rPr>
        <w:t xml:space="preserve">. </w:t>
      </w:r>
      <w:r w:rsidRPr="090C4359" w:rsidR="007C1BFC">
        <w:rPr>
          <w:rFonts w:asciiTheme="minorHAnsi" w:hAnsiTheme="minorHAnsi" w:cstheme="minorBidi"/>
          <w:sz w:val="22"/>
          <w:szCs w:val="22"/>
        </w:rPr>
        <w:t>Whilst surprisingly, they</w:t>
      </w:r>
      <w:r w:rsidRPr="090C4359">
        <w:rPr>
          <w:rFonts w:asciiTheme="minorHAnsi" w:hAnsiTheme="minorHAnsi" w:cstheme="minorBidi"/>
          <w:sz w:val="22"/>
          <w:szCs w:val="22"/>
        </w:rPr>
        <w:t xml:space="preserve"> found that positive religious coping h</w:t>
      </w:r>
      <w:r w:rsidRPr="090C4359" w:rsidR="0014663A">
        <w:rPr>
          <w:rFonts w:asciiTheme="minorHAnsi" w:hAnsiTheme="minorHAnsi" w:cstheme="minorBidi"/>
          <w:sz w:val="22"/>
          <w:szCs w:val="22"/>
        </w:rPr>
        <w:t>ad no</w:t>
      </w:r>
      <w:r w:rsidRPr="090C4359" w:rsidR="00607E2E">
        <w:rPr>
          <w:rFonts w:asciiTheme="minorHAnsi" w:hAnsiTheme="minorHAnsi" w:cstheme="minorBidi"/>
          <w:sz w:val="22"/>
          <w:szCs w:val="22"/>
        </w:rPr>
        <w:t xml:space="preserve"> direct</w:t>
      </w:r>
      <w:r w:rsidRPr="090C4359" w:rsidR="0014663A">
        <w:rPr>
          <w:rFonts w:asciiTheme="minorHAnsi" w:hAnsiTheme="minorHAnsi" w:cstheme="minorBidi"/>
          <w:sz w:val="22"/>
          <w:szCs w:val="22"/>
        </w:rPr>
        <w:t xml:space="preserve"> impact on</w:t>
      </w:r>
      <w:r w:rsidRPr="090C4359">
        <w:rPr>
          <w:rFonts w:asciiTheme="minorHAnsi" w:hAnsiTheme="minorHAnsi" w:cstheme="minorBidi"/>
          <w:sz w:val="22"/>
          <w:szCs w:val="22"/>
        </w:rPr>
        <w:t xml:space="preserve"> distress, there was a subset of parents, usually those with the highest level of religiosity, who demonstrate negative or ‘maladaptive’ spiritual coping tendencies</w:t>
      </w:r>
      <w:r w:rsidRPr="090C4359" w:rsidR="009079B4">
        <w:rPr>
          <w:rFonts w:asciiTheme="minorHAnsi" w:hAnsiTheme="minorHAnsi" w:cstheme="minorBidi"/>
          <w:sz w:val="22"/>
          <w:szCs w:val="22"/>
        </w:rPr>
        <w:t xml:space="preserve"> and</w:t>
      </w:r>
      <w:r w:rsidRPr="090C4359" w:rsidR="00C77E11">
        <w:rPr>
          <w:rFonts w:asciiTheme="minorHAnsi" w:hAnsiTheme="minorHAnsi" w:cstheme="minorBidi"/>
          <w:sz w:val="22"/>
          <w:szCs w:val="22"/>
        </w:rPr>
        <w:t xml:space="preserve"> thus</w:t>
      </w:r>
      <w:r w:rsidRPr="090C4359" w:rsidR="009079B4">
        <w:rPr>
          <w:rFonts w:asciiTheme="minorHAnsi" w:hAnsiTheme="minorHAnsi" w:cstheme="minorBidi"/>
          <w:sz w:val="22"/>
          <w:szCs w:val="22"/>
        </w:rPr>
        <w:t xml:space="preserve"> had heightened distress</w:t>
      </w:r>
      <w:r w:rsidRPr="090C4359" w:rsidR="00E30334">
        <w:rPr>
          <w:rFonts w:asciiTheme="minorHAnsi" w:hAnsiTheme="minorHAnsi" w:cstheme="minorBidi"/>
          <w:sz w:val="22"/>
          <w:szCs w:val="22"/>
        </w:rPr>
        <w:t>.</w:t>
      </w:r>
      <w:r w:rsidRPr="090C4359" w:rsidR="00C77E11">
        <w:rPr>
          <w:rFonts w:asciiTheme="minorHAnsi" w:hAnsiTheme="minorHAnsi" w:cstheme="minorBidi"/>
          <w:sz w:val="22"/>
          <w:szCs w:val="22"/>
        </w:rPr>
        <w:t xml:space="preserve"> </w:t>
      </w:r>
      <w:r w:rsidRPr="090C4359" w:rsidR="00E30334">
        <w:rPr>
          <w:rFonts w:asciiTheme="minorHAnsi" w:hAnsiTheme="minorHAnsi" w:cstheme="minorBidi"/>
          <w:sz w:val="22"/>
          <w:szCs w:val="22"/>
        </w:rPr>
        <w:t>The authors suggest this may be linked to increasing anxiety due to fear of punishment by God.</w:t>
      </w:r>
      <w:r w:rsidRPr="090C4359" w:rsidR="00C77E11">
        <w:rPr>
          <w:rStyle w:val="FootnoteReference"/>
          <w:rFonts w:asciiTheme="minorHAnsi" w:hAnsiTheme="minorHAnsi" w:cstheme="minorBidi"/>
          <w:sz w:val="22"/>
          <w:szCs w:val="22"/>
        </w:rPr>
        <w:t xml:space="preserve"> </w:t>
      </w:r>
      <w:r w:rsidRPr="090C4359" w:rsidR="00C77E11">
        <w:rPr>
          <w:rStyle w:val="FootnoteReference"/>
          <w:rFonts w:asciiTheme="minorHAnsi" w:hAnsiTheme="minorHAnsi" w:cstheme="minorBidi"/>
          <w:sz w:val="22"/>
          <w:szCs w:val="22"/>
        </w:rPr>
        <w:footnoteReference w:id="84"/>
      </w:r>
      <w:r w:rsidRPr="090C4359" w:rsidR="002C4505">
        <w:rPr>
          <w:rFonts w:asciiTheme="minorHAnsi" w:hAnsiTheme="minorHAnsi" w:cstheme="minorBidi"/>
          <w:sz w:val="22"/>
          <w:szCs w:val="22"/>
        </w:rPr>
        <w:t xml:space="preserve"> Mooney-Doyle and Ulrich also describe spiritual distress </w:t>
      </w:r>
      <w:r w:rsidRPr="090C4359" w:rsidR="00B95D41">
        <w:rPr>
          <w:rFonts w:asciiTheme="minorHAnsi" w:hAnsiTheme="minorHAnsi" w:cstheme="minorBidi"/>
          <w:sz w:val="22"/>
          <w:szCs w:val="22"/>
        </w:rPr>
        <w:t xml:space="preserve">as </w:t>
      </w:r>
      <w:r w:rsidRPr="090C4359" w:rsidR="00E9764A">
        <w:rPr>
          <w:rFonts w:asciiTheme="minorHAnsi" w:hAnsiTheme="minorHAnsi" w:cstheme="minorBidi"/>
          <w:sz w:val="22"/>
          <w:szCs w:val="22"/>
        </w:rPr>
        <w:t>a possible</w:t>
      </w:r>
      <w:r w:rsidRPr="090C4359" w:rsidR="00B95D41">
        <w:rPr>
          <w:rFonts w:asciiTheme="minorHAnsi" w:hAnsiTheme="minorHAnsi" w:cstheme="minorBidi"/>
          <w:sz w:val="22"/>
          <w:szCs w:val="22"/>
        </w:rPr>
        <w:t xml:space="preserve"> antecedent to moral distress</w:t>
      </w:r>
      <w:r w:rsidRPr="090C4359" w:rsidR="00E9764A">
        <w:rPr>
          <w:rFonts w:asciiTheme="minorHAnsi" w:hAnsiTheme="minorHAnsi" w:cstheme="minorBidi"/>
          <w:sz w:val="22"/>
          <w:szCs w:val="22"/>
        </w:rPr>
        <w:t xml:space="preserve">, </w:t>
      </w:r>
      <w:r w:rsidRPr="090C4359" w:rsidR="00E7695A">
        <w:rPr>
          <w:rFonts w:asciiTheme="minorHAnsi" w:hAnsiTheme="minorHAnsi" w:cstheme="minorBidi"/>
          <w:sz w:val="22"/>
          <w:szCs w:val="22"/>
        </w:rPr>
        <w:t>for example when</w:t>
      </w:r>
      <w:r w:rsidRPr="090C4359" w:rsidR="00E9764A">
        <w:rPr>
          <w:rFonts w:asciiTheme="minorHAnsi" w:hAnsiTheme="minorHAnsi" w:cstheme="minorBidi"/>
          <w:sz w:val="22"/>
          <w:szCs w:val="22"/>
        </w:rPr>
        <w:t xml:space="preserve"> families struggl</w:t>
      </w:r>
      <w:r w:rsidRPr="090C4359" w:rsidR="00E7695A">
        <w:rPr>
          <w:rFonts w:asciiTheme="minorHAnsi" w:hAnsiTheme="minorHAnsi" w:cstheme="minorBidi"/>
          <w:sz w:val="22"/>
          <w:szCs w:val="22"/>
        </w:rPr>
        <w:t>e</w:t>
      </w:r>
      <w:r w:rsidRPr="090C4359" w:rsidR="00E9764A">
        <w:rPr>
          <w:rFonts w:asciiTheme="minorHAnsi" w:hAnsiTheme="minorHAnsi" w:cstheme="minorBidi"/>
          <w:sz w:val="22"/>
          <w:szCs w:val="22"/>
        </w:rPr>
        <w:t xml:space="preserve"> to understand </w:t>
      </w:r>
      <w:r w:rsidRPr="090C4359" w:rsidR="00273038">
        <w:rPr>
          <w:rFonts w:asciiTheme="minorHAnsi" w:hAnsiTheme="minorHAnsi" w:cstheme="minorBidi"/>
          <w:sz w:val="22"/>
          <w:szCs w:val="22"/>
        </w:rPr>
        <w:t>why their child s</w:t>
      </w:r>
      <w:r w:rsidRPr="090C4359" w:rsidR="00FE6C68">
        <w:rPr>
          <w:rFonts w:asciiTheme="minorHAnsi" w:hAnsiTheme="minorHAnsi" w:cstheme="minorBidi"/>
          <w:sz w:val="22"/>
          <w:szCs w:val="22"/>
        </w:rPr>
        <w:t>hould</w:t>
      </w:r>
      <w:r w:rsidRPr="090C4359" w:rsidR="00273038">
        <w:rPr>
          <w:rFonts w:asciiTheme="minorHAnsi" w:hAnsiTheme="minorHAnsi" w:cstheme="minorBidi"/>
          <w:sz w:val="22"/>
          <w:szCs w:val="22"/>
        </w:rPr>
        <w:t xml:space="preserve"> be ill or die.</w:t>
      </w:r>
      <w:r w:rsidRPr="090C4359" w:rsidR="00E9764A">
        <w:rPr>
          <w:rFonts w:asciiTheme="minorHAnsi" w:hAnsiTheme="minorHAnsi" w:cstheme="minorBidi"/>
          <w:sz w:val="22"/>
          <w:szCs w:val="22"/>
        </w:rPr>
        <w:t xml:space="preserve"> </w:t>
      </w:r>
      <w:r w:rsidRPr="090C4359" w:rsidR="00273038">
        <w:rPr>
          <w:rStyle w:val="FootnoteReference"/>
          <w:rFonts w:asciiTheme="minorHAnsi" w:hAnsiTheme="minorHAnsi" w:cstheme="minorBidi"/>
          <w:sz w:val="22"/>
          <w:szCs w:val="22"/>
        </w:rPr>
        <w:footnoteReference w:id="85"/>
      </w:r>
    </w:p>
    <w:p w:rsidRPr="005A0C53" w:rsidR="00381A6C" w:rsidP="00381A6C" w:rsidRDefault="00381A6C" w14:paraId="1E5DAADB" w14:textId="77777777">
      <w:pPr>
        <w:pStyle w:val="ListParagraph"/>
        <w:rPr>
          <w:rFonts w:cstheme="minorHAnsi"/>
          <w:color w:val="000000"/>
        </w:rPr>
      </w:pPr>
    </w:p>
    <w:p w:rsidRPr="00F51B02" w:rsidR="00F51B02" w:rsidP="00187EF1" w:rsidRDefault="00816B01" w14:paraId="71551F2A" w14:textId="5E85C4F0">
      <w:pPr>
        <w:pStyle w:val="ListParagraph"/>
        <w:numPr>
          <w:ilvl w:val="0"/>
          <w:numId w:val="2"/>
        </w:numPr>
        <w:jc w:val="both"/>
        <w:rPr>
          <w:rFonts w:ascii="Segoe UI" w:hAnsi="Segoe UI" w:cs="Segoe UI"/>
        </w:rPr>
      </w:pPr>
      <w:r w:rsidRPr="005A0C53">
        <w:t xml:space="preserve">In contrast, moral-values are not dictated by doctrine as religious beliefs are, but are </w:t>
      </w:r>
      <w:r w:rsidRPr="005A0C53" w:rsidR="00482A41">
        <w:t>grounded in subjective assessments about</w:t>
      </w:r>
      <w:r w:rsidRPr="005A0C53" w:rsidR="00BB73DC">
        <w:t xml:space="preserve"> what makes life worth living and which risks are worth taking.</w:t>
      </w:r>
      <w:r w:rsidRPr="005A0C53" w:rsidR="006366C7">
        <w:rPr>
          <w:rStyle w:val="FootnoteReference"/>
        </w:rPr>
        <w:footnoteReference w:id="86"/>
      </w:r>
      <w:r w:rsidRPr="005A0C53" w:rsidR="00DE492C">
        <w:t xml:space="preserve"> </w:t>
      </w:r>
      <w:r w:rsidRPr="005A0C53" w:rsidR="001D59D4">
        <w:t>Zimmerman argues that such values a</w:t>
      </w:r>
      <w:r w:rsidRPr="005A0C53" w:rsidR="00001F9B">
        <w:t xml:space="preserve">re deeply held, the violation of which can have personal </w:t>
      </w:r>
      <w:r w:rsidRPr="005A0C53" w:rsidR="00381A6C">
        <w:t>effect.</w:t>
      </w:r>
      <w:r w:rsidRPr="005A0C53" w:rsidR="00381A6C">
        <w:rPr>
          <w:rStyle w:val="FootnoteReference"/>
        </w:rPr>
        <w:footnoteReference w:id="87"/>
      </w:r>
      <w:r w:rsidRPr="00967B2A" w:rsidR="00196F61">
        <w:rPr>
          <w:color w:val="0070C0"/>
        </w:rPr>
        <w:t xml:space="preserve"> </w:t>
      </w:r>
      <w:r w:rsidRPr="00B57564" w:rsidR="00196F61">
        <w:t xml:space="preserve">Yet, </w:t>
      </w:r>
      <w:r w:rsidRPr="00B57564" w:rsidR="003F35D9">
        <w:t>Auckland and Goold contend that given the diversity of views on these matters, they may be more amenable to discussion than religious belief.</w:t>
      </w:r>
      <w:r w:rsidRPr="00B57564" w:rsidR="003F35D9">
        <w:rPr>
          <w:rStyle w:val="FootnoteReference"/>
        </w:rPr>
        <w:footnoteReference w:id="88"/>
      </w:r>
      <w:r w:rsidRPr="00B57564" w:rsidR="003F35D9">
        <w:t xml:space="preserve"> </w:t>
      </w:r>
      <w:r w:rsidRPr="00B57564" w:rsidR="00F52CE7">
        <w:t xml:space="preserve">They </w:t>
      </w:r>
      <w:r w:rsidRPr="005A0C53" w:rsidR="00F52CE7">
        <w:t xml:space="preserve">also </w:t>
      </w:r>
      <w:r w:rsidRPr="005A0C53" w:rsidR="00954E1C">
        <w:t>claim that differences may derive not just from a person</w:t>
      </w:r>
      <w:r w:rsidRPr="005A0C53" w:rsidR="00F52CE7">
        <w:t>’</w:t>
      </w:r>
      <w:r w:rsidRPr="005A0C53" w:rsidR="00954E1C">
        <w:t>s or</w:t>
      </w:r>
      <w:r w:rsidRPr="005A0C53" w:rsidR="00F52CE7">
        <w:t xml:space="preserve">igin </w:t>
      </w:r>
      <w:r w:rsidRPr="005A0C53" w:rsidR="00954E1C">
        <w:t>but also their “culture” includ</w:t>
      </w:r>
      <w:r w:rsidRPr="005A0C53" w:rsidR="003F35D9">
        <w:t>ing professional and societal cultures</w:t>
      </w:r>
      <w:r w:rsidRPr="005A0C53" w:rsidR="00E2055F">
        <w:t xml:space="preserve">, </w:t>
      </w:r>
      <w:r w:rsidRPr="005A0C53" w:rsidR="00E2055F">
        <w:rPr>
          <w:rStyle w:val="FootnoteReference"/>
        </w:rPr>
        <w:footnoteReference w:id="89"/>
      </w:r>
      <w:r w:rsidRPr="005A0C53" w:rsidR="00E2055F">
        <w:t xml:space="preserve"> – exemplified in</w:t>
      </w:r>
      <w:r w:rsidRPr="005A0C53" w:rsidR="0070173F">
        <w:t xml:space="preserve"> a professional sub-culture</w:t>
      </w:r>
      <w:r w:rsidRPr="005A0C53" w:rsidR="00AA5681">
        <w:t xml:space="preserve"> in </w:t>
      </w:r>
      <w:r w:rsidRPr="005A0C53" w:rsidR="001D59D4">
        <w:t>c</w:t>
      </w:r>
      <w:r w:rsidRPr="005A0C53" w:rsidR="00AA5681">
        <w:t>ertain medical specialities of pursuing “heroic measures” at the end-of</w:t>
      </w:r>
      <w:r w:rsidRPr="005A0C53" w:rsidR="00230C2C">
        <w:t xml:space="preserve">-life. </w:t>
      </w:r>
      <w:r w:rsidRPr="005A0C53" w:rsidR="00230C2C">
        <w:rPr>
          <w:rStyle w:val="FootnoteReference"/>
        </w:rPr>
        <w:footnoteReference w:id="90"/>
      </w:r>
      <w:r w:rsidRPr="005A0C53" w:rsidR="00E2055F">
        <w:t xml:space="preserve"> </w:t>
      </w:r>
      <w:r w:rsidRPr="005A0C53" w:rsidR="00230C2C">
        <w:t>This</w:t>
      </w:r>
      <w:r w:rsidRPr="005A0C53" w:rsidR="00F52CE7">
        <w:t xml:space="preserve"> may</w:t>
      </w:r>
      <w:r w:rsidRPr="005A0C53" w:rsidR="00230C2C">
        <w:t xml:space="preserve"> also</w:t>
      </w:r>
      <w:r w:rsidRPr="005A0C53" w:rsidR="00F52CE7">
        <w:t xml:space="preserve"> explain the evidence that doctors </w:t>
      </w:r>
      <w:r w:rsidRPr="005A0C53" w:rsidR="000C5F90">
        <w:t>assess quality of life differently t</w:t>
      </w:r>
      <w:r w:rsidRPr="005A0C53" w:rsidR="0046384F">
        <w:t>o</w:t>
      </w:r>
      <w:r w:rsidRPr="005A0C53" w:rsidR="000C5F90">
        <w:t xml:space="preserve"> parents.</w:t>
      </w:r>
      <w:r w:rsidRPr="005A0C53" w:rsidR="00CE66C9">
        <w:rPr>
          <w:rStyle w:val="FootnoteReference"/>
        </w:rPr>
        <w:footnoteReference w:id="91"/>
      </w:r>
      <w:r w:rsidRPr="005A0C53" w:rsidR="000C5F90">
        <w:t xml:space="preserve"> </w:t>
      </w:r>
      <w:r w:rsidRPr="005A0C53" w:rsidR="008F6C47">
        <w:t xml:space="preserve">For example, in </w:t>
      </w:r>
      <w:r w:rsidRPr="090C4359" w:rsidR="008F6C47">
        <w:rPr>
          <w:i/>
          <w:iCs/>
        </w:rPr>
        <w:t>Battersbee</w:t>
      </w:r>
      <w:r w:rsidRPr="005A0C53" w:rsidR="00BD6CB8">
        <w:t xml:space="preserve"> the family</w:t>
      </w:r>
      <w:r w:rsidRPr="005A0C53" w:rsidR="001E14CC">
        <w:t xml:space="preserve"> contended </w:t>
      </w:r>
      <w:r w:rsidRPr="005A0C53" w:rsidR="004F6355">
        <w:t xml:space="preserve">that </w:t>
      </w:r>
      <w:r w:rsidRPr="005A0C53" w:rsidR="002512E9">
        <w:t>Archie</w:t>
      </w:r>
      <w:r w:rsidRPr="005A0C53" w:rsidR="004F6355">
        <w:t xml:space="preserve"> would want</w:t>
      </w:r>
      <w:r w:rsidRPr="005A0C53" w:rsidR="002512E9">
        <w:t xml:space="preserve"> to remain on life support because he</w:t>
      </w:r>
      <w:r w:rsidRPr="005A0C53" w:rsidR="004F6355">
        <w:t xml:space="preserve"> had told his </w:t>
      </w:r>
      <w:r w:rsidRPr="0014263A" w:rsidR="528AF18B">
        <w:t>Mother</w:t>
      </w:r>
      <w:r w:rsidRPr="005A0C53" w:rsidR="004F6355">
        <w:t xml:space="preserve"> that he</w:t>
      </w:r>
      <w:r w:rsidRPr="005A0C53" w:rsidR="002512E9">
        <w:t xml:space="preserve"> would not want to leave her’.</w:t>
      </w:r>
      <w:r w:rsidRPr="005A0C53" w:rsidR="002512E9">
        <w:rPr>
          <w:rStyle w:val="FootnoteReference"/>
        </w:rPr>
        <w:footnoteReference w:id="92"/>
      </w:r>
    </w:p>
    <w:p w:rsidR="00F51B02" w:rsidP="00F51B02" w:rsidRDefault="00F51B02" w14:paraId="69997655" w14:textId="77777777">
      <w:pPr>
        <w:pStyle w:val="ListParagraph"/>
      </w:pPr>
    </w:p>
    <w:p w:rsidRPr="00D85C18" w:rsidR="00E91EC3" w:rsidP="00187EF1" w:rsidRDefault="004F6355" w14:paraId="44B0339A" w14:textId="0CFC5661">
      <w:pPr>
        <w:pStyle w:val="ListParagraph"/>
        <w:numPr>
          <w:ilvl w:val="0"/>
          <w:numId w:val="2"/>
        </w:numPr>
        <w:jc w:val="both"/>
        <w:rPr>
          <w:rFonts w:ascii="Segoe UI" w:hAnsi="Segoe UI" w:cs="Segoe UI"/>
        </w:rPr>
      </w:pPr>
      <w:r w:rsidRPr="005A0C53">
        <w:t xml:space="preserve"> In </w:t>
      </w:r>
      <w:r w:rsidRPr="00D85C18">
        <w:t xml:space="preserve">response to media narratives that the public are opposed to the withdrawal of treatment in high profile cases such </w:t>
      </w:r>
      <w:r w:rsidRPr="090C4359">
        <w:rPr>
          <w:i/>
          <w:iCs/>
        </w:rPr>
        <w:t>Battersbee</w:t>
      </w:r>
      <w:r w:rsidRPr="00D85C18">
        <w:t xml:space="preserve">, Brick et al undertook an online survey </w:t>
      </w:r>
      <w:r w:rsidRPr="00D85C18" w:rsidR="004756DC">
        <w:t xml:space="preserve">of UK </w:t>
      </w:r>
      <w:r w:rsidRPr="00D85C18">
        <w:t>public views on when life is worth living</w:t>
      </w:r>
      <w:r w:rsidRPr="00D85C18" w:rsidR="00E91EC3">
        <w:t xml:space="preserve"> </w:t>
      </w:r>
      <w:r w:rsidRPr="00D85C18" w:rsidR="001B17A2">
        <w:t>and found that</w:t>
      </w:r>
      <w:r w:rsidRPr="00D85C18">
        <w:t xml:space="preserve"> 94% of</w:t>
      </w:r>
      <w:r w:rsidRPr="00D85C18" w:rsidR="003D6039">
        <w:t xml:space="preserve"> the 130</w:t>
      </w:r>
      <w:r w:rsidRPr="00D85C18">
        <w:t xml:space="preserve"> participants agreed that there was a threshold below which life was no longer worth living and that below this threshold treatment must be withdrawn. </w:t>
      </w:r>
      <w:r w:rsidRPr="00D85C18" w:rsidR="00E91EC3">
        <w:rPr>
          <w:rStyle w:val="FootnoteReference"/>
        </w:rPr>
        <w:footnoteReference w:id="93"/>
      </w:r>
      <w:r w:rsidRPr="00D85C18" w:rsidR="00E91EC3">
        <w:t xml:space="preserve"> In </w:t>
      </w:r>
      <w:r w:rsidRPr="090C4359" w:rsidR="00E91EC3">
        <w:rPr>
          <w:i/>
          <w:iCs/>
        </w:rPr>
        <w:t>Verden</w:t>
      </w:r>
      <w:r w:rsidRPr="00D85C18" w:rsidR="00E91EC3">
        <w:t>, the disagreement was essentially about which risks were worth taking and about the quality of life that potentially awaited William, versus the certainty of death within months, without the transplant.</w:t>
      </w:r>
      <w:r w:rsidRPr="00D85C18" w:rsidR="00E91EC3">
        <w:rPr>
          <w:rStyle w:val="FootnoteReference"/>
        </w:rPr>
        <w:footnoteReference w:id="94"/>
      </w:r>
      <w:r w:rsidRPr="00D85C18" w:rsidR="00E91EC3">
        <w:t xml:space="preserve"> </w:t>
      </w:r>
    </w:p>
    <w:p w:rsidRPr="00D85C18" w:rsidR="007549A8" w:rsidP="007549A8" w:rsidRDefault="007549A8" w14:paraId="2A8433EF" w14:textId="77777777">
      <w:pPr>
        <w:pStyle w:val="ListParagraph"/>
        <w:rPr>
          <w:rFonts w:cstheme="minorHAnsi"/>
          <w:sz w:val="24"/>
          <w:szCs w:val="24"/>
        </w:rPr>
      </w:pPr>
    </w:p>
    <w:p w:rsidRPr="00D85C18" w:rsidR="00E5359D" w:rsidP="00187EF1" w:rsidRDefault="00E5359D" w14:paraId="1CD54827" w14:textId="1A3BF7CC">
      <w:pPr>
        <w:pStyle w:val="ListParagraph"/>
        <w:numPr>
          <w:ilvl w:val="0"/>
          <w:numId w:val="2"/>
        </w:numPr>
        <w:jc w:val="both"/>
        <w:rPr>
          <w:rFonts w:cstheme="minorHAnsi"/>
        </w:rPr>
      </w:pPr>
      <w:r w:rsidRPr="090C4359">
        <w:t xml:space="preserve">A key recent values debate seen in the case law and literature is over the </w:t>
      </w:r>
      <w:r w:rsidRPr="090C4359" w:rsidR="000107D6">
        <w:t>nature and role of</w:t>
      </w:r>
      <w:r w:rsidRPr="090C4359" w:rsidR="001559EC">
        <w:t xml:space="preserve"> pain and</w:t>
      </w:r>
      <w:r w:rsidRPr="090C4359" w:rsidR="000107D6">
        <w:t xml:space="preserve"> suffering. </w:t>
      </w:r>
      <w:r w:rsidRPr="090C4359" w:rsidR="00810AB7">
        <w:t>The question of whether Alta was capable of experiencing pain and if so</w:t>
      </w:r>
      <w:r w:rsidRPr="090C4359" w:rsidR="007F17DA">
        <w:t>,</w:t>
      </w:r>
      <w:r w:rsidRPr="090C4359" w:rsidR="00810AB7">
        <w:t xml:space="preserve"> whether she was suffering</w:t>
      </w:r>
      <w:r w:rsidRPr="090C4359" w:rsidR="007F17DA">
        <w:t>,</w:t>
      </w:r>
      <w:r w:rsidRPr="090C4359" w:rsidR="00810AB7">
        <w:t xml:space="preserve"> was central to </w:t>
      </w:r>
      <w:r w:rsidRPr="090C4359" w:rsidR="00810AB7">
        <w:rPr>
          <w:i/>
          <w:iCs/>
        </w:rPr>
        <w:t>Fixsler</w:t>
      </w:r>
      <w:r w:rsidRPr="090C4359" w:rsidR="00864783">
        <w:rPr>
          <w:i/>
          <w:iCs/>
        </w:rPr>
        <w:t xml:space="preserve">. </w:t>
      </w:r>
      <w:r w:rsidRPr="090C4359" w:rsidR="00515C86">
        <w:t>For the</w:t>
      </w:r>
      <w:r w:rsidRPr="090C4359" w:rsidR="00810AB7">
        <w:t xml:space="preserve"> healthcare professionals</w:t>
      </w:r>
      <w:r w:rsidRPr="090C4359" w:rsidR="00515C86">
        <w:t xml:space="preserve"> in the case</w:t>
      </w:r>
      <w:r w:rsidRPr="090C4359" w:rsidR="00C91395">
        <w:t xml:space="preserve"> </w:t>
      </w:r>
      <w:r w:rsidRPr="090C4359" w:rsidR="00160CB1">
        <w:t>the driving force behind the withdrawal argument</w:t>
      </w:r>
      <w:r w:rsidRPr="090C4359" w:rsidR="00C91395">
        <w:t xml:space="preserve"> was that Alta was suffering. I</w:t>
      </w:r>
      <w:r w:rsidRPr="090C4359" w:rsidR="00864783">
        <w:t>n</w:t>
      </w:r>
      <w:r w:rsidRPr="090C4359" w:rsidR="00593B48">
        <w:t xml:space="preserve"> </w:t>
      </w:r>
      <w:r w:rsidRPr="090C4359" w:rsidR="00864783">
        <w:t>contrast</w:t>
      </w:r>
      <w:r w:rsidRPr="090C4359" w:rsidR="009C1ECC">
        <w:t>,</w:t>
      </w:r>
      <w:r w:rsidRPr="090C4359" w:rsidR="00864783">
        <w:t xml:space="preserve"> the parental position</w:t>
      </w:r>
      <w:r w:rsidRPr="090C4359" w:rsidR="009C1ECC">
        <w:t xml:space="preserve"> was</w:t>
      </w:r>
      <w:r w:rsidRPr="090C4359" w:rsidR="00864783">
        <w:t xml:space="preserve"> that </w:t>
      </w:r>
      <w:r w:rsidRPr="090C4359" w:rsidR="00593B48">
        <w:t>suffering was uncertain</w:t>
      </w:r>
      <w:r w:rsidRPr="090C4359" w:rsidR="007557AD">
        <w:t xml:space="preserve"> and therefore</w:t>
      </w:r>
      <w:r w:rsidRPr="090C4359" w:rsidR="00593B48">
        <w:t xml:space="preserve"> the religious imperative to maintain life</w:t>
      </w:r>
      <w:r w:rsidRPr="090C4359" w:rsidR="00EE52C2">
        <w:t xml:space="preserve"> was overriding.</w:t>
      </w:r>
      <w:r w:rsidRPr="090C4359" w:rsidR="008F76FE">
        <w:t xml:space="preserve"> </w:t>
      </w:r>
      <w:r w:rsidRPr="090C4359" w:rsidR="00810AB7">
        <w:t xml:space="preserve">Pruski </w:t>
      </w:r>
      <w:r w:rsidRPr="090C4359" w:rsidR="006B4B10">
        <w:t xml:space="preserve">contends that the law </w:t>
      </w:r>
      <w:r w:rsidRPr="090C4359" w:rsidR="00CD20D0">
        <w:t>should acknowledge ‘</w:t>
      </w:r>
      <w:r w:rsidRPr="090C4359" w:rsidR="008C685B">
        <w:t>that suffering is not always the overriding factor in any decision</w:t>
      </w:r>
      <w:r w:rsidRPr="090C4359" w:rsidR="0008709F">
        <w:t>/</w:t>
      </w:r>
      <w:r w:rsidRPr="090C4359" w:rsidR="008C685B">
        <w:t>problem</w:t>
      </w:r>
      <w:r w:rsidRPr="090C4359" w:rsidR="00E5342E">
        <w:t xml:space="preserve"> </w:t>
      </w:r>
      <w:r w:rsidRPr="090C4359" w:rsidR="008C685B">
        <w:t>-</w:t>
      </w:r>
      <w:r w:rsidRPr="090C4359" w:rsidR="00E5342E">
        <w:t xml:space="preserve"> </w:t>
      </w:r>
      <w:r w:rsidRPr="090C4359" w:rsidR="008C685B">
        <w:t>with the plurality of goods present in life</w:t>
      </w:r>
      <w:r w:rsidRPr="090C4359" w:rsidR="00EC5272">
        <w:t xml:space="preserve"> (…) </w:t>
      </w:r>
      <w:r w:rsidRPr="090C4359" w:rsidR="008C685B">
        <w:t>we cannot simply dismiss all of these goods for the sake of abbreviating suffering, especially in a pluralistic state.</w:t>
      </w:r>
      <w:r w:rsidRPr="090C4359" w:rsidR="00486126">
        <w:t>’</w:t>
      </w:r>
      <w:r w:rsidRPr="090C4359" w:rsidR="00486126">
        <w:rPr>
          <w:rStyle w:val="FootnoteReference"/>
        </w:rPr>
        <w:footnoteReference w:id="95"/>
      </w:r>
      <w:r w:rsidRPr="090C4359" w:rsidR="00A2676B">
        <w:t xml:space="preserve"> </w:t>
      </w:r>
      <w:r w:rsidRPr="090C4359" w:rsidR="00BE62BE">
        <w:t>He asserts that t</w:t>
      </w:r>
      <w:r w:rsidRPr="090C4359" w:rsidR="00A2676B">
        <w:t>he courts</w:t>
      </w:r>
      <w:r w:rsidRPr="090C4359" w:rsidR="004E35D0">
        <w:t>’</w:t>
      </w:r>
      <w:r w:rsidRPr="090C4359" w:rsidR="00A2676B">
        <w:t xml:space="preserve"> </w:t>
      </w:r>
      <w:r w:rsidRPr="090C4359" w:rsidR="00EC2057">
        <w:t>finding</w:t>
      </w:r>
      <w:r w:rsidRPr="090C4359" w:rsidR="00DE12EF">
        <w:t xml:space="preserve"> that Alta was at risk of experiencing sufferi</w:t>
      </w:r>
      <w:r w:rsidRPr="090C4359" w:rsidR="00BE62BE">
        <w:t>ng</w:t>
      </w:r>
      <w:r w:rsidRPr="090C4359" w:rsidR="00897F76">
        <w:t xml:space="preserve"> is a </w:t>
      </w:r>
      <w:r w:rsidRPr="090C4359" w:rsidR="00DE12EF">
        <w:t xml:space="preserve">conclusion </w:t>
      </w:r>
      <w:r w:rsidRPr="090C4359" w:rsidR="007242EE">
        <w:t>‘</w:t>
      </w:r>
      <w:r w:rsidRPr="090C4359" w:rsidR="00DE12EF">
        <w:t>not purely based on the facts of medical science but required philosophical assumptions as to the nature of suffering</w:t>
      </w:r>
      <w:r w:rsidRPr="090C4359" w:rsidR="00897F76">
        <w:t xml:space="preserve">’ and </w:t>
      </w:r>
      <w:r w:rsidRPr="090C4359" w:rsidR="007D4AE6">
        <w:t>he fears the situation where the ‘</w:t>
      </w:r>
      <w:r w:rsidRPr="090C4359" w:rsidR="00DE12EF">
        <w:t>presence of suffering becomes the default assumption.</w:t>
      </w:r>
      <w:r w:rsidRPr="090C4359" w:rsidR="007D4AE6">
        <w:t>’</w:t>
      </w:r>
      <w:r w:rsidRPr="090C4359" w:rsidR="007D4AE6">
        <w:rPr>
          <w:rStyle w:val="FootnoteReference"/>
        </w:rPr>
        <w:footnoteReference w:id="96"/>
      </w:r>
    </w:p>
    <w:p w:rsidRPr="00D85C18" w:rsidR="00274972" w:rsidP="00274972" w:rsidRDefault="00274972" w14:paraId="24C3D2F8" w14:textId="77777777">
      <w:pPr>
        <w:pStyle w:val="ListParagraph"/>
        <w:rPr>
          <w:rFonts w:cstheme="minorHAnsi"/>
        </w:rPr>
      </w:pPr>
    </w:p>
    <w:p w:rsidRPr="00D62E6E" w:rsidR="00AB1D97" w:rsidP="00187EF1" w:rsidRDefault="000107D6" w14:paraId="7EE7C30D" w14:textId="4A660BB4">
      <w:pPr>
        <w:pStyle w:val="ListParagraph"/>
        <w:numPr>
          <w:ilvl w:val="0"/>
          <w:numId w:val="2"/>
        </w:numPr>
        <w:jc w:val="both"/>
        <w:rPr>
          <w:rFonts w:cstheme="minorHAnsi"/>
          <w:color w:val="000000"/>
        </w:rPr>
      </w:pPr>
      <w:r w:rsidRPr="090C4359">
        <w:t xml:space="preserve">In the absence of clear evidence of pain and suffering that might justify the withdrawal of treatment, clinicians and judges sometimes </w:t>
      </w:r>
      <w:r w:rsidRPr="090C4359" w:rsidR="001F1076">
        <w:t>turn</w:t>
      </w:r>
      <w:r w:rsidRPr="090C4359">
        <w:t xml:space="preserve"> to </w:t>
      </w:r>
      <w:r w:rsidRPr="090C4359" w:rsidR="001B6D53">
        <w:t>the concept of harm to dignity.</w:t>
      </w:r>
      <w:r w:rsidRPr="090C4359" w:rsidR="00DF4AA9">
        <w:rPr>
          <w:rStyle w:val="FootnoteReference"/>
        </w:rPr>
        <w:footnoteReference w:id="97"/>
      </w:r>
      <w:r w:rsidRPr="090C4359" w:rsidR="001B6D53">
        <w:t xml:space="preserve"> </w:t>
      </w:r>
      <w:r w:rsidRPr="090C4359" w:rsidR="006A015F">
        <w:t>In</w:t>
      </w:r>
      <w:r w:rsidRPr="090C4359" w:rsidR="00070602">
        <w:rPr>
          <w:i/>
          <w:iCs/>
        </w:rPr>
        <w:t xml:space="preserve"> Raqeeb</w:t>
      </w:r>
      <w:r w:rsidRPr="090C4359" w:rsidR="00070602">
        <w:t>,</w:t>
      </w:r>
      <w:r w:rsidRPr="090C4359" w:rsidR="002D265A">
        <w:t xml:space="preserve"> the Trust argued that further invasive treatment </w:t>
      </w:r>
      <w:r w:rsidRPr="090C4359" w:rsidR="00B44FA5">
        <w:t>imposed ‘an unacceptable burden on her human dignity</w:t>
      </w:r>
      <w:r w:rsidRPr="090C4359" w:rsidR="0053772B">
        <w:t>’,</w:t>
      </w:r>
      <w:r w:rsidRPr="090C4359" w:rsidR="00356E0B">
        <w:t xml:space="preserve"> </w:t>
      </w:r>
      <w:r w:rsidRPr="090C4359" w:rsidR="0022187E">
        <w:t>but MacDonald J noted that the concept is ‘not without difficulty’</w:t>
      </w:r>
      <w:r w:rsidRPr="090C4359" w:rsidR="00D468A9">
        <w:t xml:space="preserve"> given </w:t>
      </w:r>
      <w:r w:rsidRPr="090C4359" w:rsidR="0053772B">
        <w:t>its absence of</w:t>
      </w:r>
      <w:r w:rsidRPr="090C4359" w:rsidR="00D468A9">
        <w:t xml:space="preserve"> precise definition</w:t>
      </w:r>
      <w:r w:rsidRPr="090C4359" w:rsidR="0053772B">
        <w:t xml:space="preserve"> and the inevitable cultural or religious framing of its meaning.</w:t>
      </w:r>
      <w:r w:rsidRPr="090C4359" w:rsidR="0053772B">
        <w:rPr>
          <w:rStyle w:val="FootnoteReference"/>
        </w:rPr>
        <w:t xml:space="preserve"> </w:t>
      </w:r>
      <w:r w:rsidRPr="090C4359" w:rsidR="0053772B">
        <w:rPr>
          <w:rStyle w:val="FootnoteReference"/>
        </w:rPr>
        <w:footnoteReference w:id="98"/>
      </w:r>
      <w:r w:rsidRPr="090C4359" w:rsidR="00D468A9">
        <w:t xml:space="preserve"> </w:t>
      </w:r>
      <w:r w:rsidRPr="090C4359" w:rsidR="00F23ABB">
        <w:t xml:space="preserve">Likewise the </w:t>
      </w:r>
      <w:r w:rsidRPr="090C4359" w:rsidR="0097242F">
        <w:t>Poole J</w:t>
      </w:r>
      <w:r w:rsidRPr="090C4359" w:rsidR="00F23ABB">
        <w:t xml:space="preserve"> </w:t>
      </w:r>
      <w:r w:rsidRPr="090C4359" w:rsidR="003338C5">
        <w:t xml:space="preserve">in </w:t>
      </w:r>
      <w:r w:rsidRPr="090C4359" w:rsidR="003338C5">
        <w:rPr>
          <w:i/>
          <w:iCs/>
        </w:rPr>
        <w:t>Knight</w:t>
      </w:r>
      <w:r w:rsidRPr="090C4359" w:rsidR="003338C5">
        <w:t xml:space="preserve"> </w:t>
      </w:r>
      <w:r w:rsidRPr="090C4359" w:rsidR="00536036">
        <w:t>found the concept of dignity unhelpful in assessing Pippa’s best interests</w:t>
      </w:r>
      <w:r w:rsidRPr="090C4359" w:rsidR="0089161E">
        <w:t xml:space="preserve"> given its </w:t>
      </w:r>
      <w:r w:rsidRPr="090C4359" w:rsidR="000023A5">
        <w:t xml:space="preserve">high degree of </w:t>
      </w:r>
      <w:r w:rsidRPr="090C4359" w:rsidR="0089161E">
        <w:t>subjectiv</w:t>
      </w:r>
      <w:r w:rsidRPr="090C4359" w:rsidR="000023A5">
        <w:t>ity.</w:t>
      </w:r>
      <w:r w:rsidRPr="090C4359" w:rsidR="006A23F6">
        <w:rPr>
          <w:rStyle w:val="FootnoteReference"/>
        </w:rPr>
        <w:footnoteReference w:id="99"/>
      </w:r>
      <w:r w:rsidRPr="090C4359" w:rsidR="00B05E5B">
        <w:t xml:space="preserve"> In contrast in </w:t>
      </w:r>
      <w:r w:rsidRPr="090C4359" w:rsidR="00B05E5B">
        <w:rPr>
          <w:i/>
          <w:iCs/>
        </w:rPr>
        <w:t>Battersbee</w:t>
      </w:r>
      <w:r w:rsidRPr="090C4359" w:rsidR="00B05E5B">
        <w:t xml:space="preserve">, the </w:t>
      </w:r>
      <w:r w:rsidRPr="090C4359" w:rsidR="001D3097">
        <w:t xml:space="preserve">family drew on notions of dignity cited in </w:t>
      </w:r>
      <w:r w:rsidRPr="090C4359" w:rsidR="001D3097">
        <w:rPr>
          <w:i/>
          <w:iCs/>
        </w:rPr>
        <w:t>Raqeeb</w:t>
      </w:r>
      <w:r w:rsidRPr="090C4359" w:rsidR="0012399A">
        <w:t xml:space="preserve">, </w:t>
      </w:r>
      <w:r w:rsidRPr="090C4359" w:rsidR="00B05E5B">
        <w:t>to support continued treatment when they contended that ‘the fact that Archie feels no pain does not mean that his life has no value…’.</w:t>
      </w:r>
      <w:r w:rsidRPr="090C4359" w:rsidR="00B05E5B">
        <w:rPr>
          <w:rStyle w:val="FootnoteReference"/>
        </w:rPr>
        <w:footnoteReference w:id="100"/>
      </w:r>
      <w:r w:rsidRPr="090C4359" w:rsidR="006F4AB4">
        <w:t xml:space="preserve"> Wheeler commenting on </w:t>
      </w:r>
      <w:r w:rsidRPr="090C4359" w:rsidR="00A93388">
        <w:rPr>
          <w:i/>
          <w:iCs/>
        </w:rPr>
        <w:t>Knight</w:t>
      </w:r>
      <w:r w:rsidRPr="090C4359" w:rsidR="00A93388">
        <w:t xml:space="preserve"> </w:t>
      </w:r>
      <w:r w:rsidRPr="090C4359" w:rsidR="004E5E7A">
        <w:t>claims that</w:t>
      </w:r>
      <w:r w:rsidRPr="090C4359" w:rsidR="000151C8">
        <w:t xml:space="preserve"> attributes of</w:t>
      </w:r>
      <w:r w:rsidRPr="090C4359" w:rsidR="004E5E7A">
        <w:t xml:space="preserve"> dignity </w:t>
      </w:r>
      <w:r w:rsidRPr="090C4359" w:rsidR="000151C8">
        <w:t>are</w:t>
      </w:r>
      <w:r w:rsidRPr="090C4359" w:rsidR="004E5E7A">
        <w:t xml:space="preserve"> not about ‘doing life</w:t>
      </w:r>
      <w:r w:rsidRPr="090C4359" w:rsidR="000151C8">
        <w:t>’ as much as being alive – ‘[t]</w:t>
      </w:r>
      <w:r w:rsidRPr="090C4359" w:rsidR="00A93388">
        <w:t>hose who are participating in the human adventure flourish on that journey</w:t>
      </w:r>
      <w:r w:rsidRPr="090C4359" w:rsidR="00F72D7A">
        <w:t xml:space="preserve"> (…)</w:t>
      </w:r>
      <w:r w:rsidRPr="090C4359" w:rsidR="00A93388">
        <w:t xml:space="preserve"> It all turns on ‘being’.</w:t>
      </w:r>
      <w:r w:rsidRPr="090C4359" w:rsidR="00703F06">
        <w:t xml:space="preserve"> </w:t>
      </w:r>
      <w:r w:rsidRPr="090C4359" w:rsidR="00D21AD7">
        <w:t>J</w:t>
      </w:r>
      <w:r w:rsidRPr="090C4359" w:rsidR="00703F06">
        <w:t>udicial evaluation</w:t>
      </w:r>
      <w:r w:rsidRPr="090C4359" w:rsidR="003F7A91">
        <w:t xml:space="preserve"> of how respect for dignity </w:t>
      </w:r>
      <w:r w:rsidRPr="090C4359" w:rsidR="003F7A91">
        <w:rPr>
          <w:i/>
          <w:iCs/>
        </w:rPr>
        <w:t>would</w:t>
      </w:r>
      <w:r w:rsidRPr="090C4359" w:rsidR="003F7A91">
        <w:t xml:space="preserve"> apply when assessing best interests</w:t>
      </w:r>
      <w:r w:rsidRPr="090C4359" w:rsidR="00AB1D97">
        <w:t xml:space="preserve"> would be welcomed</w:t>
      </w:r>
      <w:r w:rsidRPr="090C4359" w:rsidR="003F7A91">
        <w:t>.</w:t>
      </w:r>
      <w:r w:rsidRPr="090C4359" w:rsidR="00A93388">
        <w:t xml:space="preserve"> </w:t>
      </w:r>
      <w:r w:rsidRPr="004D1679" w:rsidR="00D05B2A">
        <w:rPr>
          <w:rStyle w:val="FootnoteReference"/>
        </w:rPr>
        <w:footnoteReference w:id="101"/>
      </w:r>
    </w:p>
    <w:p w:rsidRPr="00D62E6E" w:rsidR="00D62E6E" w:rsidP="00D62E6E" w:rsidRDefault="00D62E6E" w14:paraId="6741FE35" w14:textId="77777777">
      <w:pPr>
        <w:pStyle w:val="ListParagraph"/>
        <w:ind w:left="360"/>
        <w:rPr>
          <w:rFonts w:cstheme="minorHAnsi"/>
          <w:color w:val="000000"/>
        </w:rPr>
      </w:pPr>
    </w:p>
    <w:p w:rsidR="00B82E79" w:rsidP="00F97C9E" w:rsidRDefault="00987FB9" w14:paraId="082F4DA3" w14:textId="5329D67A">
      <w:pPr>
        <w:jc w:val="both"/>
        <w:rPr>
          <w:i/>
          <w:iCs/>
          <w:color w:val="002060"/>
          <w:sz w:val="24"/>
          <w:szCs w:val="24"/>
        </w:rPr>
      </w:pPr>
      <w:r>
        <w:rPr>
          <w:i/>
          <w:iCs/>
          <w:color w:val="002060"/>
          <w:sz w:val="24"/>
          <w:szCs w:val="24"/>
        </w:rPr>
        <w:t>i</w:t>
      </w:r>
      <w:r w:rsidR="00B95CF4">
        <w:rPr>
          <w:i/>
          <w:iCs/>
          <w:color w:val="002060"/>
          <w:sz w:val="24"/>
          <w:szCs w:val="24"/>
        </w:rPr>
        <w:t>ii</w:t>
      </w:r>
      <w:r>
        <w:rPr>
          <w:i/>
          <w:iCs/>
          <w:color w:val="002060"/>
          <w:sz w:val="24"/>
          <w:szCs w:val="24"/>
        </w:rPr>
        <w:t>)</w:t>
      </w:r>
      <w:r w:rsidR="007B3F91">
        <w:rPr>
          <w:i/>
          <w:iCs/>
          <w:color w:val="002060"/>
          <w:sz w:val="24"/>
          <w:szCs w:val="24"/>
        </w:rPr>
        <w:t xml:space="preserve"> </w:t>
      </w:r>
      <w:r w:rsidRPr="00A90E45" w:rsidR="00570519">
        <w:rPr>
          <w:i/>
          <w:iCs/>
          <w:color w:val="002060"/>
          <w:sz w:val="24"/>
          <w:szCs w:val="24"/>
        </w:rPr>
        <w:t>Expectations of medical treatme</w:t>
      </w:r>
      <w:r w:rsidR="00F97C9E">
        <w:rPr>
          <w:i/>
          <w:iCs/>
          <w:color w:val="002060"/>
          <w:sz w:val="24"/>
          <w:szCs w:val="24"/>
        </w:rPr>
        <w:t>nt</w:t>
      </w:r>
    </w:p>
    <w:p w:rsidRPr="00CC4DA4" w:rsidR="005E29A5" w:rsidP="003058D7" w:rsidRDefault="00F97C9E" w14:paraId="1F80BA06" w14:textId="2C606132">
      <w:pPr>
        <w:pStyle w:val="Normal0"/>
        <w:numPr>
          <w:ilvl w:val="0"/>
          <w:numId w:val="2"/>
        </w:numPr>
        <w:jc w:val="both"/>
        <w:rPr>
          <w:rFonts w:cstheme="minorHAnsi"/>
        </w:rPr>
      </w:pPr>
      <w:r w:rsidRPr="090C4359">
        <w:rPr>
          <w:rFonts w:asciiTheme="minorHAnsi" w:hAnsiTheme="minorHAnsi" w:cstheme="minorBidi"/>
          <w:sz w:val="22"/>
          <w:szCs w:val="22"/>
        </w:rPr>
        <w:t>Studies in both the UK</w:t>
      </w:r>
      <w:r w:rsidRPr="090C4359" w:rsidR="00997BA4">
        <w:rPr>
          <w:rStyle w:val="FootnoteReference"/>
          <w:rFonts w:asciiTheme="minorHAnsi" w:hAnsiTheme="minorHAnsi" w:cstheme="minorBidi"/>
          <w:sz w:val="22"/>
          <w:szCs w:val="22"/>
        </w:rPr>
        <w:footnoteReference w:id="102"/>
      </w:r>
      <w:r w:rsidRPr="090C4359">
        <w:rPr>
          <w:rFonts w:asciiTheme="minorHAnsi" w:hAnsiTheme="minorHAnsi" w:cstheme="minorBidi"/>
          <w:sz w:val="22"/>
          <w:szCs w:val="22"/>
        </w:rPr>
        <w:t xml:space="preserve"> and </w:t>
      </w:r>
      <w:r w:rsidRPr="090C4359" w:rsidR="004045BA">
        <w:rPr>
          <w:rFonts w:asciiTheme="minorHAnsi" w:hAnsiTheme="minorHAnsi" w:cstheme="minorBidi"/>
          <w:sz w:val="22"/>
          <w:szCs w:val="22"/>
        </w:rPr>
        <w:t>Australia</w:t>
      </w:r>
      <w:r w:rsidRPr="090C4359" w:rsidR="00997BA4">
        <w:rPr>
          <w:rStyle w:val="FootnoteReference"/>
          <w:rFonts w:asciiTheme="minorHAnsi" w:hAnsiTheme="minorHAnsi" w:cstheme="minorBidi"/>
          <w:sz w:val="22"/>
          <w:szCs w:val="22"/>
        </w:rPr>
        <w:footnoteReference w:id="103"/>
      </w:r>
      <w:r w:rsidRPr="090C4359">
        <w:rPr>
          <w:rFonts w:asciiTheme="minorHAnsi" w:hAnsiTheme="minorHAnsi" w:cstheme="minorBidi"/>
          <w:sz w:val="22"/>
          <w:szCs w:val="22"/>
        </w:rPr>
        <w:t xml:space="preserve"> </w:t>
      </w:r>
      <w:r w:rsidRPr="090C4359" w:rsidR="00080BAC">
        <w:rPr>
          <w:rFonts w:asciiTheme="minorHAnsi" w:hAnsiTheme="minorHAnsi" w:cstheme="minorBidi"/>
          <w:sz w:val="22"/>
          <w:szCs w:val="22"/>
        </w:rPr>
        <w:t xml:space="preserve">indicate that </w:t>
      </w:r>
      <w:r w:rsidRPr="090C4359" w:rsidR="00EB2F90">
        <w:rPr>
          <w:rFonts w:asciiTheme="minorHAnsi" w:hAnsiTheme="minorHAnsi" w:cstheme="minorBidi"/>
          <w:sz w:val="22"/>
          <w:szCs w:val="22"/>
        </w:rPr>
        <w:t>‘</w:t>
      </w:r>
      <w:r w:rsidRPr="090C4359" w:rsidR="00080BAC">
        <w:rPr>
          <w:rFonts w:asciiTheme="minorHAnsi" w:hAnsiTheme="minorHAnsi" w:cstheme="minorBidi"/>
          <w:sz w:val="22"/>
          <w:szCs w:val="22"/>
        </w:rPr>
        <w:t>unrealistic</w:t>
      </w:r>
      <w:r w:rsidRPr="090C4359" w:rsidR="00EB2F90">
        <w:rPr>
          <w:rFonts w:asciiTheme="minorHAnsi" w:hAnsiTheme="minorHAnsi" w:cstheme="minorBidi"/>
          <w:sz w:val="22"/>
          <w:szCs w:val="22"/>
        </w:rPr>
        <w:t>’</w:t>
      </w:r>
      <w:r w:rsidRPr="090C4359" w:rsidR="00080BAC">
        <w:rPr>
          <w:rFonts w:asciiTheme="minorHAnsi" w:hAnsiTheme="minorHAnsi" w:cstheme="minorBidi"/>
          <w:sz w:val="22"/>
          <w:szCs w:val="22"/>
        </w:rPr>
        <w:t xml:space="preserve"> parental expectations</w:t>
      </w:r>
      <w:r w:rsidRPr="090C4359" w:rsidR="00AC7FB0">
        <w:rPr>
          <w:rFonts w:asciiTheme="minorHAnsi" w:hAnsiTheme="minorHAnsi" w:cstheme="minorBidi"/>
          <w:sz w:val="22"/>
          <w:szCs w:val="22"/>
        </w:rPr>
        <w:t xml:space="preserve"> and demands</w:t>
      </w:r>
      <w:r w:rsidRPr="090C4359" w:rsidR="000E15D0">
        <w:rPr>
          <w:rFonts w:asciiTheme="minorHAnsi" w:hAnsiTheme="minorHAnsi" w:cstheme="minorBidi"/>
          <w:sz w:val="22"/>
          <w:szCs w:val="22"/>
        </w:rPr>
        <w:t xml:space="preserve"> </w:t>
      </w:r>
      <w:r w:rsidRPr="090C4359" w:rsidR="00080BAC">
        <w:rPr>
          <w:rFonts w:asciiTheme="minorHAnsi" w:hAnsiTheme="minorHAnsi" w:cstheme="minorBidi"/>
          <w:sz w:val="22"/>
          <w:szCs w:val="22"/>
        </w:rPr>
        <w:t>are a major factor in di</w:t>
      </w:r>
      <w:r w:rsidRPr="090C4359" w:rsidR="00376DEE">
        <w:rPr>
          <w:rFonts w:asciiTheme="minorHAnsi" w:hAnsiTheme="minorHAnsi" w:cstheme="minorBidi"/>
          <w:sz w:val="22"/>
          <w:szCs w:val="22"/>
        </w:rPr>
        <w:t>sa</w:t>
      </w:r>
      <w:r w:rsidRPr="090C4359" w:rsidR="00080BAC">
        <w:rPr>
          <w:rFonts w:asciiTheme="minorHAnsi" w:hAnsiTheme="minorHAnsi" w:cstheme="minorBidi"/>
          <w:sz w:val="22"/>
          <w:szCs w:val="22"/>
        </w:rPr>
        <w:t xml:space="preserve">greements. </w:t>
      </w:r>
      <w:r w:rsidRPr="090C4359" w:rsidR="00376DEE">
        <w:rPr>
          <w:rFonts w:asciiTheme="minorHAnsi" w:hAnsiTheme="minorHAnsi" w:cstheme="minorBidi"/>
          <w:sz w:val="22"/>
          <w:szCs w:val="22"/>
        </w:rPr>
        <w:t>As Sokol notes, ‘it is understandable that parents would fight mightily to keep their child alive. It is a natural instinct, even if it no longer makes sense logically and ethically.’</w:t>
      </w:r>
      <w:r w:rsidRPr="090C4359" w:rsidR="00C76DDC">
        <w:rPr>
          <w:rStyle w:val="FootnoteReference"/>
          <w:rFonts w:asciiTheme="minorHAnsi" w:hAnsiTheme="minorHAnsi" w:cstheme="minorBidi"/>
          <w:sz w:val="22"/>
          <w:szCs w:val="22"/>
        </w:rPr>
        <w:footnoteReference w:id="104"/>
      </w:r>
      <w:r w:rsidRPr="090C4359" w:rsidR="00353BC1">
        <w:rPr>
          <w:rFonts w:asciiTheme="minorHAnsi" w:hAnsiTheme="minorHAnsi" w:cstheme="minorBidi"/>
          <w:sz w:val="22"/>
          <w:szCs w:val="22"/>
        </w:rPr>
        <w:t xml:space="preserve"> </w:t>
      </w:r>
      <w:r w:rsidRPr="090C4359" w:rsidR="00477982">
        <w:rPr>
          <w:rFonts w:asciiTheme="minorHAnsi" w:hAnsiTheme="minorHAnsi" w:cstheme="minorBidi"/>
          <w:sz w:val="22"/>
          <w:szCs w:val="22"/>
        </w:rPr>
        <w:t>This may be manifest in a variety of ways, including parents who have unrealistic expectations about the power of medical science</w:t>
      </w:r>
      <w:r w:rsidRPr="090C4359" w:rsidR="0046382E">
        <w:rPr>
          <w:rFonts w:asciiTheme="minorHAnsi" w:hAnsiTheme="minorHAnsi" w:cstheme="minorBidi"/>
          <w:sz w:val="22"/>
          <w:szCs w:val="22"/>
        </w:rPr>
        <w:t>,</w:t>
      </w:r>
      <w:r w:rsidRPr="090C4359" w:rsidR="00477982">
        <w:rPr>
          <w:rFonts w:asciiTheme="minorHAnsi" w:hAnsiTheme="minorHAnsi" w:cstheme="minorBidi"/>
          <w:sz w:val="22"/>
          <w:szCs w:val="22"/>
        </w:rPr>
        <w:t xml:space="preserve"> or their child’s ability to recover</w:t>
      </w:r>
      <w:r w:rsidRPr="090C4359" w:rsidR="00B6315B">
        <w:rPr>
          <w:rFonts w:asciiTheme="minorHAnsi" w:hAnsiTheme="minorHAnsi" w:cstheme="minorBidi"/>
          <w:sz w:val="22"/>
          <w:szCs w:val="22"/>
        </w:rPr>
        <w:t xml:space="preserve">. </w:t>
      </w:r>
      <w:r w:rsidRPr="090C4359" w:rsidR="009A4B11">
        <w:rPr>
          <w:rFonts w:asciiTheme="minorHAnsi" w:hAnsiTheme="minorHAnsi" w:cstheme="minorBidi"/>
          <w:sz w:val="22"/>
          <w:szCs w:val="22"/>
        </w:rPr>
        <w:t>In</w:t>
      </w:r>
      <w:r w:rsidRPr="090C4359" w:rsidR="00F05977">
        <w:rPr>
          <w:rFonts w:asciiTheme="minorHAnsi" w:hAnsiTheme="minorHAnsi" w:cstheme="minorBidi"/>
          <w:sz w:val="22"/>
          <w:szCs w:val="22"/>
        </w:rPr>
        <w:t xml:space="preserve"> </w:t>
      </w:r>
      <w:r w:rsidRPr="090C4359" w:rsidR="00F05977">
        <w:rPr>
          <w:rFonts w:asciiTheme="minorHAnsi" w:hAnsiTheme="minorHAnsi" w:cstheme="minorBidi"/>
          <w:i/>
          <w:iCs/>
          <w:sz w:val="22"/>
          <w:szCs w:val="22"/>
        </w:rPr>
        <w:t>Battersbee</w:t>
      </w:r>
      <w:r w:rsidRPr="090C4359" w:rsidR="00F05977">
        <w:rPr>
          <w:rFonts w:asciiTheme="minorHAnsi" w:hAnsiTheme="minorHAnsi" w:cstheme="minorBidi"/>
          <w:sz w:val="22"/>
          <w:szCs w:val="22"/>
        </w:rPr>
        <w:t xml:space="preserve"> where the </w:t>
      </w:r>
      <w:r w:rsidRPr="090C4359" w:rsidR="009A4B11">
        <w:rPr>
          <w:rFonts w:asciiTheme="minorHAnsi" w:hAnsiTheme="minorHAnsi" w:cstheme="minorBidi"/>
          <w:sz w:val="22"/>
          <w:szCs w:val="22"/>
        </w:rPr>
        <w:t>families position was that</w:t>
      </w:r>
      <w:r w:rsidRPr="090C4359" w:rsidR="00F05977">
        <w:rPr>
          <w:rFonts w:asciiTheme="minorHAnsi" w:hAnsiTheme="minorHAnsi" w:cstheme="minorBidi"/>
          <w:sz w:val="22"/>
          <w:szCs w:val="22"/>
        </w:rPr>
        <w:t xml:space="preserve"> ‘</w:t>
      </w:r>
      <w:r w:rsidRPr="090C4359" w:rsidR="005E29A5">
        <w:rPr>
          <w:rFonts w:asciiTheme="minorHAnsi" w:hAnsiTheme="minorHAnsi" w:cstheme="minorBidi"/>
          <w:sz w:val="22"/>
          <w:szCs w:val="22"/>
        </w:rPr>
        <w:t>the clinicians are wrong in taking their decision not to operate on Archie to reli</w:t>
      </w:r>
      <w:r w:rsidRPr="090C4359" w:rsidR="008615E6">
        <w:rPr>
          <w:rFonts w:asciiTheme="minorHAnsi" w:hAnsiTheme="minorHAnsi" w:cstheme="minorBidi"/>
          <w:sz w:val="22"/>
          <w:szCs w:val="22"/>
        </w:rPr>
        <w:t>e</w:t>
      </w:r>
      <w:r w:rsidRPr="090C4359" w:rsidR="005E29A5">
        <w:rPr>
          <w:rFonts w:asciiTheme="minorHAnsi" w:hAnsiTheme="minorHAnsi" w:cstheme="minorBidi"/>
          <w:sz w:val="22"/>
          <w:szCs w:val="22"/>
        </w:rPr>
        <w:t>ve the pressure from the swelling of his brain</w:t>
      </w:r>
      <w:r w:rsidRPr="090C4359" w:rsidR="0054656A">
        <w:rPr>
          <w:rFonts w:asciiTheme="minorHAnsi" w:hAnsiTheme="minorHAnsi" w:cstheme="minorBidi"/>
          <w:sz w:val="22"/>
          <w:szCs w:val="22"/>
        </w:rPr>
        <w:t xml:space="preserve">’ </w:t>
      </w:r>
      <w:r w:rsidRPr="090C4359" w:rsidR="00071373">
        <w:rPr>
          <w:rFonts w:asciiTheme="minorHAnsi" w:hAnsiTheme="minorHAnsi" w:cstheme="minorBidi"/>
          <w:sz w:val="22"/>
          <w:szCs w:val="22"/>
        </w:rPr>
        <w:t>Arthbutnot J not</w:t>
      </w:r>
      <w:r w:rsidRPr="090C4359" w:rsidR="00640B21">
        <w:rPr>
          <w:rFonts w:asciiTheme="minorHAnsi" w:hAnsiTheme="minorHAnsi" w:cstheme="minorBidi"/>
          <w:sz w:val="22"/>
          <w:szCs w:val="22"/>
        </w:rPr>
        <w:t>es</w:t>
      </w:r>
      <w:r w:rsidRPr="090C4359" w:rsidR="00071373">
        <w:rPr>
          <w:rFonts w:asciiTheme="minorHAnsi" w:hAnsiTheme="minorHAnsi" w:cstheme="minorBidi"/>
          <w:sz w:val="22"/>
          <w:szCs w:val="22"/>
        </w:rPr>
        <w:t xml:space="preserve"> that ‘</w:t>
      </w:r>
      <w:r w:rsidRPr="090C4359" w:rsidR="005E29A5">
        <w:rPr>
          <w:rFonts w:asciiTheme="minorHAnsi" w:hAnsiTheme="minorHAnsi" w:cstheme="minorBidi"/>
          <w:sz w:val="22"/>
          <w:szCs w:val="22"/>
        </w:rPr>
        <w:t>the implication is that that might make a difference to his condition’.</w:t>
      </w:r>
      <w:r w:rsidRPr="090C4359" w:rsidR="005E29A5">
        <w:rPr>
          <w:rStyle w:val="FootnoteReference"/>
          <w:rFonts w:asciiTheme="minorHAnsi" w:hAnsiTheme="minorHAnsi" w:cstheme="minorBidi"/>
          <w:sz w:val="22"/>
          <w:szCs w:val="22"/>
        </w:rPr>
        <w:footnoteReference w:id="105"/>
      </w:r>
      <w:r w:rsidRPr="090C4359" w:rsidR="00071373">
        <w:rPr>
          <w:rFonts w:asciiTheme="minorHAnsi" w:hAnsiTheme="minorHAnsi" w:cstheme="minorBidi"/>
          <w:sz w:val="22"/>
          <w:szCs w:val="22"/>
        </w:rPr>
        <w:t xml:space="preserve"> As Wallis observes, the root of these expectations may lie in</w:t>
      </w:r>
      <w:r w:rsidRPr="090C4359" w:rsidR="004778C6">
        <w:rPr>
          <w:rFonts w:asciiTheme="minorHAnsi" w:hAnsiTheme="minorHAnsi" w:cstheme="minorBidi"/>
          <w:sz w:val="22"/>
          <w:szCs w:val="22"/>
        </w:rPr>
        <w:t xml:space="preserve"> the use of life sustaining technology at a time of crisis</w:t>
      </w:r>
      <w:r w:rsidRPr="090C4359" w:rsidR="003058D7">
        <w:rPr>
          <w:rFonts w:asciiTheme="minorHAnsi" w:hAnsiTheme="minorHAnsi" w:cstheme="minorBidi"/>
          <w:sz w:val="22"/>
          <w:szCs w:val="22"/>
        </w:rPr>
        <w:t xml:space="preserve"> and then ‘[o]</w:t>
      </w:r>
      <w:r w:rsidRPr="090C4359" w:rsidR="00071373">
        <w:rPr>
          <w:rFonts w:asciiTheme="minorHAnsi" w:hAnsiTheme="minorHAnsi" w:cstheme="minorBidi"/>
          <w:sz w:val="22"/>
          <w:szCs w:val="22"/>
        </w:rPr>
        <w:t>nly after a period of time do we realise that death is inevitable but disallowed by the very technology that we have introduced. Unforeseeably one gets stuck on a piece of machinery or treatment that prevents a child from growing up, developing and interacting with their environment and leaves them to a life in a high dependency hospital be</w:t>
      </w:r>
      <w:r w:rsidRPr="090C4359" w:rsidR="00CC4DA4">
        <w:rPr>
          <w:rFonts w:asciiTheme="minorHAnsi" w:hAnsiTheme="minorHAnsi" w:cstheme="minorBidi"/>
          <w:sz w:val="22"/>
          <w:szCs w:val="22"/>
        </w:rPr>
        <w:t>d</w:t>
      </w:r>
      <w:r w:rsidRPr="090C4359" w:rsidR="00BA6ED5">
        <w:rPr>
          <w:rFonts w:asciiTheme="minorHAnsi" w:hAnsiTheme="minorHAnsi" w:cstheme="minorBidi"/>
          <w:sz w:val="22"/>
          <w:szCs w:val="22"/>
        </w:rPr>
        <w:t xml:space="preserve"> (…).’</w:t>
      </w:r>
      <w:r w:rsidRPr="090C4359" w:rsidR="00BA6ED5">
        <w:rPr>
          <w:rStyle w:val="FootnoteReference"/>
          <w:rFonts w:asciiTheme="minorHAnsi" w:hAnsiTheme="minorHAnsi" w:cstheme="minorBidi"/>
          <w:sz w:val="22"/>
          <w:szCs w:val="22"/>
        </w:rPr>
        <w:footnoteReference w:id="106"/>
      </w:r>
    </w:p>
    <w:p w:rsidRPr="00A21502" w:rsidR="00AE1E40" w:rsidP="00AE1E40" w:rsidRDefault="00AE1E40" w14:paraId="3F44A161" w14:textId="77777777">
      <w:pPr>
        <w:pStyle w:val="ListParagraph"/>
        <w:jc w:val="both"/>
        <w:rPr>
          <w:rFonts w:cstheme="minorHAnsi"/>
        </w:rPr>
      </w:pPr>
    </w:p>
    <w:p w:rsidRPr="00AE1E40" w:rsidR="00005669" w:rsidP="00AE1E40" w:rsidRDefault="00570519" w14:paraId="586E29F3" w14:textId="5400E8B3">
      <w:pPr>
        <w:pStyle w:val="ListParagraph"/>
        <w:numPr>
          <w:ilvl w:val="0"/>
          <w:numId w:val="2"/>
        </w:numPr>
        <w:jc w:val="both"/>
        <w:rPr>
          <w:rFonts w:cstheme="minorHAnsi"/>
          <w:sz w:val="24"/>
          <w:szCs w:val="24"/>
        </w:rPr>
      </w:pPr>
      <w:r w:rsidRPr="090C4359">
        <w:t xml:space="preserve">However, an emerging issue in terms of parental expectation is </w:t>
      </w:r>
      <w:r w:rsidRPr="090C4359" w:rsidR="00B775CF">
        <w:t>the rising numbers of</w:t>
      </w:r>
      <w:r w:rsidRPr="090C4359">
        <w:t xml:space="preserve"> children with medical complexity</w:t>
      </w:r>
      <w:r w:rsidRPr="090C4359" w:rsidR="00CC237C">
        <w:t>.</w:t>
      </w:r>
      <w:r w:rsidRPr="090C4359" w:rsidR="002F14D5">
        <w:rPr>
          <w:rStyle w:val="FootnoteReference"/>
        </w:rPr>
        <w:footnoteReference w:id="107"/>
      </w:r>
      <w:r w:rsidRPr="090C4359" w:rsidR="00B775CF">
        <w:t xml:space="preserve"> </w:t>
      </w:r>
      <w:r w:rsidRPr="090C4359" w:rsidR="00171747">
        <w:t xml:space="preserve"> A recently reported observational study by Fraser et al found that over an 18-year period from 2000-2018, the prevalence of this population had risen almost three-fold.</w:t>
      </w:r>
      <w:r w:rsidRPr="090C4359" w:rsidR="00171747">
        <w:rPr>
          <w:rStyle w:val="FootnoteReference"/>
        </w:rPr>
        <w:footnoteReference w:id="108"/>
      </w:r>
      <w:r w:rsidRPr="090C4359" w:rsidR="00F83218">
        <w:t xml:space="preserve"> </w:t>
      </w:r>
      <w:r w:rsidRPr="090C4359" w:rsidR="00005669">
        <w:t>Birchley et al</w:t>
      </w:r>
      <w:r w:rsidRPr="090C4359" w:rsidR="003279F9">
        <w:t xml:space="preserve"> explain that</w:t>
      </w:r>
      <w:r w:rsidRPr="090C4359" w:rsidR="008D3715">
        <w:t xml:space="preserve"> complex care needs</w:t>
      </w:r>
      <w:r w:rsidRPr="090C4359" w:rsidR="00005669">
        <w:t xml:space="preserve"> </w:t>
      </w:r>
      <w:r w:rsidRPr="090C4359" w:rsidR="008D3715">
        <w:t>‘</w:t>
      </w:r>
      <w:r w:rsidRPr="090C4359" w:rsidR="00005669">
        <w:t>can be both materially and logistically difficult to manage, causing friction with parents</w:t>
      </w:r>
      <w:r w:rsidRPr="090C4359" w:rsidR="008D3715">
        <w:t>’</w:t>
      </w:r>
      <w:r w:rsidRPr="090C4359" w:rsidR="00B70375">
        <w:t>, such as</w:t>
      </w:r>
      <w:r w:rsidRPr="090C4359" w:rsidR="00662DAD">
        <w:t xml:space="preserve"> </w:t>
      </w:r>
      <w:r w:rsidRPr="090C4359" w:rsidR="00AE1E40">
        <w:t>‘</w:t>
      </w:r>
      <w:r w:rsidRPr="090C4359" w:rsidR="00662DAD">
        <w:t>incoordinate decision-making, increased incidence of disagreements with families and a loss of focus on the child’s best interests</w:t>
      </w:r>
      <w:r w:rsidRPr="090C4359" w:rsidR="00AE1E40">
        <w:t xml:space="preserve">.’ </w:t>
      </w:r>
      <w:r w:rsidRPr="090C4359" w:rsidR="00AE1E40">
        <w:rPr>
          <w:rStyle w:val="FootnoteReference"/>
        </w:rPr>
        <w:footnoteReference w:id="109"/>
      </w:r>
    </w:p>
    <w:p w:rsidRPr="00AE1E40" w:rsidR="00AC7FB0" w:rsidP="00AE1E40" w:rsidRDefault="00AC7FB0" w14:paraId="7050F976" w14:textId="77777777">
      <w:pPr>
        <w:rPr>
          <w:rFonts w:cstheme="minorHAnsi"/>
          <w:sz w:val="24"/>
          <w:szCs w:val="24"/>
        </w:rPr>
      </w:pPr>
    </w:p>
    <w:p w:rsidRPr="001956C1" w:rsidR="00B95CF4" w:rsidP="001956C1" w:rsidRDefault="00570519" w14:paraId="62DD9836" w14:textId="13C5AAAB">
      <w:pPr>
        <w:pStyle w:val="ListParagraph"/>
        <w:numPr>
          <w:ilvl w:val="0"/>
          <w:numId w:val="2"/>
        </w:numPr>
        <w:jc w:val="both"/>
        <w:rPr>
          <w:rFonts w:cstheme="minorHAnsi"/>
        </w:rPr>
      </w:pPr>
      <w:r w:rsidRPr="090C4359">
        <w:t>There is little in the academic literature about the ethical and legal challenges raised in the care of children with medical complexity, although Moreton and Brierley contend that it is likely to be a growing area of difficulty.</w:t>
      </w:r>
      <w:r w:rsidRPr="090C4359">
        <w:rPr>
          <w:rStyle w:val="FootnoteReference"/>
        </w:rPr>
        <w:footnoteReference w:id="110"/>
      </w:r>
      <w:r w:rsidRPr="090C4359" w:rsidR="00343AD1">
        <w:t xml:space="preserve"> </w:t>
      </w:r>
      <w:r w:rsidRPr="00D85C18" w:rsidR="000818EF">
        <w:t xml:space="preserve">They claim that </w:t>
      </w:r>
      <w:r w:rsidRPr="090C4359" w:rsidR="000818EF">
        <w:t>t</w:t>
      </w:r>
      <w:r w:rsidRPr="090C4359">
        <w:t>ension inevitably arises when clinicians seek legal determination of ‘ceilings of treatment’ for very ill children who are likely to significantly deteriorate in the near future</w:t>
      </w:r>
      <w:r w:rsidRPr="090C4359" w:rsidR="00DC3B6F">
        <w:t>,</w:t>
      </w:r>
      <w:r w:rsidRPr="090C4359">
        <w:t xml:space="preserve"> </w:t>
      </w:r>
      <w:r w:rsidRPr="090C4359" w:rsidR="00DC3B6F">
        <w:t xml:space="preserve">but </w:t>
      </w:r>
      <w:r w:rsidRPr="00D85C18">
        <w:t xml:space="preserve">parents who have advocated for their children for </w:t>
      </w:r>
      <w:r w:rsidRPr="00D85C18" w:rsidR="00DC3B6F">
        <w:t xml:space="preserve">possibly </w:t>
      </w:r>
      <w:r w:rsidRPr="00D85C18">
        <w:t xml:space="preserve">decades, and seen them recover through countless health crises, struggle to understand </w:t>
      </w:r>
      <w:r w:rsidRPr="00D85C18" w:rsidR="00921631">
        <w:t>“</w:t>
      </w:r>
      <w:r w:rsidRPr="00D85C18">
        <w:t>what has changed</w:t>
      </w:r>
      <w:r w:rsidRPr="00D85C18" w:rsidR="00921631">
        <w:t>”</w:t>
      </w:r>
      <w:r w:rsidRPr="00D85C18" w:rsidR="00DC3B6F">
        <w:t>.</w:t>
      </w:r>
      <w:r w:rsidRPr="00D85C18" w:rsidR="00F50336">
        <w:t xml:space="preserve"> This source of disagreement</w:t>
      </w:r>
      <w:r w:rsidRPr="00D85C18">
        <w:t xml:space="preserve"> has been exemplified in a series of recent cases</w:t>
      </w:r>
      <w:r w:rsidRPr="00D85C18" w:rsidR="00F90E2F">
        <w:t>,</w:t>
      </w:r>
      <w:r w:rsidRPr="00D85C18" w:rsidR="007A6FB3">
        <w:rPr>
          <w:rStyle w:val="FootnoteReference"/>
        </w:rPr>
        <w:t xml:space="preserve"> </w:t>
      </w:r>
      <w:r w:rsidRPr="00D85C18" w:rsidR="007A6FB3">
        <w:rPr>
          <w:rStyle w:val="FootnoteReference"/>
        </w:rPr>
        <w:footnoteReference w:id="111"/>
      </w:r>
      <w:r w:rsidRPr="00D85C18" w:rsidR="00E873B9">
        <w:rPr>
          <w:rStyle w:val="FootnoteReference"/>
        </w:rPr>
        <w:t xml:space="preserve"> </w:t>
      </w:r>
      <w:r w:rsidRPr="00D85C18" w:rsidR="00F90E2F">
        <w:t>such as</w:t>
      </w:r>
      <w:r w:rsidRPr="00D85C18" w:rsidR="006A2E91">
        <w:t xml:space="preserve"> </w:t>
      </w:r>
      <w:r w:rsidRPr="090C4359" w:rsidR="006A2E91">
        <w:rPr>
          <w:i/>
          <w:iCs/>
        </w:rPr>
        <w:t>Re Z</w:t>
      </w:r>
      <w:r w:rsidRPr="00D85C18" w:rsidR="006A2E91">
        <w:t xml:space="preserve"> which involved a 16</w:t>
      </w:r>
      <w:r w:rsidRPr="00D85C18" w:rsidR="0072361A">
        <w:t>-</w:t>
      </w:r>
      <w:r w:rsidRPr="00D85C18" w:rsidR="006A2E91">
        <w:t>year</w:t>
      </w:r>
      <w:r w:rsidRPr="00D85C18" w:rsidR="00504971">
        <w:t xml:space="preserve"> </w:t>
      </w:r>
      <w:r w:rsidRPr="00D85C18" w:rsidR="006A2E91">
        <w:t>old boy with ce</w:t>
      </w:r>
      <w:r w:rsidRPr="00D85C18" w:rsidR="00397743">
        <w:t>rebral palsy and multiple other severe disabilities</w:t>
      </w:r>
      <w:r w:rsidRPr="00D85C18" w:rsidR="0072361A">
        <w:t>, who</w:t>
      </w:r>
      <w:r w:rsidRPr="00D85C18" w:rsidR="00F04738">
        <w:t xml:space="preserve">se home care was described as ‘akin to a High Dependency Unit’ and who had </w:t>
      </w:r>
      <w:r w:rsidRPr="00D85C18" w:rsidR="00D26C5B">
        <w:t xml:space="preserve">experienced an increasing number of hospital stays in </w:t>
      </w:r>
      <w:r w:rsidRPr="00D85C18" w:rsidR="00D33B8A">
        <w:t>P</w:t>
      </w:r>
      <w:r w:rsidRPr="00D85C18" w:rsidR="00D26C5B">
        <w:t>ICU</w:t>
      </w:r>
      <w:r w:rsidRPr="00D85C18" w:rsidR="00E14BDA">
        <w:t>.</w:t>
      </w:r>
      <w:r w:rsidRPr="00D85C18" w:rsidR="001A3276">
        <w:rPr>
          <w:rStyle w:val="FootnoteReference"/>
        </w:rPr>
        <w:footnoteReference w:id="112"/>
      </w:r>
      <w:r w:rsidRPr="00D85C18" w:rsidR="001A3276">
        <w:t xml:space="preserve"> </w:t>
      </w:r>
      <w:r w:rsidRPr="00D85C18" w:rsidR="0079454A">
        <w:t xml:space="preserve">The NHS </w:t>
      </w:r>
      <w:r w:rsidRPr="00D85C18" w:rsidR="00676F74">
        <w:t>T</w:t>
      </w:r>
      <w:r w:rsidRPr="00D85C18" w:rsidR="0079454A">
        <w:t>rust applied to court for a determination of the ‘ceiling of treatment’ – in other words, at what point they should cease active treatment</w:t>
      </w:r>
      <w:r w:rsidRPr="00D85C18" w:rsidR="00D10F09">
        <w:t xml:space="preserve"> such as short-term ventilation</w:t>
      </w:r>
      <w:r w:rsidRPr="00D85C18" w:rsidR="00A8344D">
        <w:t>. This was</w:t>
      </w:r>
      <w:r w:rsidRPr="00D85C18" w:rsidR="00676F74">
        <w:t xml:space="preserve"> in order to gain clarity </w:t>
      </w:r>
      <w:r w:rsidRPr="00D85C18" w:rsidR="001125CE">
        <w:t xml:space="preserve">in the course of action in anticipation of </w:t>
      </w:r>
      <w:r w:rsidRPr="00D85C18" w:rsidR="008652EF">
        <w:t xml:space="preserve">severe deterioration of Z’s condition and to avoid legal action at a critical time when he is in the PICU. </w:t>
      </w:r>
      <w:r w:rsidRPr="00D85C18" w:rsidR="00841693">
        <w:t>However, the parents</w:t>
      </w:r>
      <w:r w:rsidRPr="00D85C18" w:rsidR="004103DF">
        <w:t xml:space="preserve"> having cared for Z for 16 years and being driven by their Muslim faith in the sanctity of life</w:t>
      </w:r>
      <w:r w:rsidRPr="00D85C18" w:rsidR="00A81491">
        <w:t xml:space="preserve">, could not be reconciled to any </w:t>
      </w:r>
      <w:r w:rsidRPr="00D85C18" w:rsidR="00EF11CF">
        <w:t xml:space="preserve">steps which they felt would have the effect of shortening life and viewed even a 10% chance of </w:t>
      </w:r>
      <w:r w:rsidRPr="00D85C18" w:rsidR="00A8344D">
        <w:t xml:space="preserve">success in </w:t>
      </w:r>
      <w:r w:rsidRPr="00D85C18" w:rsidR="00E873B9">
        <w:t>ventilation as representing ‘good odds’.</w:t>
      </w:r>
      <w:r w:rsidRPr="00D85C18" w:rsidR="00E873B9">
        <w:rPr>
          <w:rStyle w:val="FootnoteReference"/>
        </w:rPr>
        <w:footnoteReference w:id="113"/>
      </w:r>
    </w:p>
    <w:p w:rsidRPr="00B95CF4" w:rsidR="00552A43" w:rsidP="00B95CF4" w:rsidRDefault="00552A43" w14:paraId="71C5EB70" w14:textId="77777777">
      <w:pPr>
        <w:pStyle w:val="ListParagraph"/>
        <w:rPr>
          <w:rFonts w:cstheme="minorHAnsi"/>
        </w:rPr>
      </w:pPr>
    </w:p>
    <w:p w:rsidRPr="00241AAF" w:rsidR="005B472E" w:rsidP="00343A2F" w:rsidRDefault="00B95CF4" w14:paraId="4A62B781" w14:textId="514CC741">
      <w:pPr>
        <w:jc w:val="both"/>
        <w:rPr>
          <w:rFonts w:cstheme="minorHAnsi"/>
          <w:color w:val="002060"/>
          <w:u w:val="single"/>
        </w:rPr>
      </w:pPr>
      <w:r w:rsidRPr="00241AAF">
        <w:rPr>
          <w:rFonts w:cstheme="minorHAnsi"/>
          <w:color w:val="002060"/>
          <w:u w:val="single"/>
        </w:rPr>
        <w:t xml:space="preserve">RELATIONAL </w:t>
      </w:r>
      <w:r w:rsidRPr="00241AAF" w:rsidR="00995A0B">
        <w:rPr>
          <w:rFonts w:cstheme="minorHAnsi"/>
          <w:color w:val="002060"/>
          <w:u w:val="single"/>
        </w:rPr>
        <w:t>CAUSES</w:t>
      </w:r>
    </w:p>
    <w:p w:rsidRPr="005B472E" w:rsidR="005B472E" w:rsidP="005B472E" w:rsidRDefault="00B95CF4" w14:paraId="6279A5F4" w14:textId="060D6D40">
      <w:pPr>
        <w:ind w:left="142"/>
        <w:jc w:val="both"/>
        <w:rPr>
          <w:rFonts w:cstheme="minorHAnsi"/>
          <w:i/>
          <w:iCs/>
          <w:color w:val="002060"/>
          <w:sz w:val="24"/>
          <w:szCs w:val="24"/>
        </w:rPr>
      </w:pPr>
      <w:r>
        <w:rPr>
          <w:rFonts w:cstheme="minorHAnsi"/>
          <w:i/>
          <w:iCs/>
          <w:color w:val="002060"/>
          <w:sz w:val="24"/>
          <w:szCs w:val="24"/>
        </w:rPr>
        <w:t>i</w:t>
      </w:r>
      <w:r w:rsidRPr="005B472E" w:rsidR="005B472E">
        <w:rPr>
          <w:rFonts w:cstheme="minorHAnsi"/>
          <w:i/>
          <w:iCs/>
          <w:color w:val="002060"/>
          <w:sz w:val="24"/>
          <w:szCs w:val="24"/>
        </w:rPr>
        <w:t>v) Communication, roles and processes</w:t>
      </w:r>
      <w:r w:rsidRPr="005B472E" w:rsidR="005B472E">
        <w:rPr>
          <w:rFonts w:cstheme="minorHAnsi"/>
        </w:rPr>
        <w:t xml:space="preserve"> </w:t>
      </w:r>
    </w:p>
    <w:p w:rsidRPr="004D5C71" w:rsidR="002B566C" w:rsidP="005B472E" w:rsidRDefault="00472D52" w14:paraId="30CF6475" w14:textId="5ECA315F">
      <w:pPr>
        <w:pStyle w:val="ListParagraph"/>
        <w:numPr>
          <w:ilvl w:val="0"/>
          <w:numId w:val="2"/>
        </w:numPr>
        <w:jc w:val="both"/>
        <w:rPr>
          <w:rFonts w:cstheme="minorHAnsi"/>
        </w:rPr>
      </w:pPr>
      <w:r w:rsidRPr="090C4359">
        <w:t xml:space="preserve">Relationships with healthcare professionals can be </w:t>
      </w:r>
      <w:r w:rsidRPr="090C4359" w:rsidR="002F3088">
        <w:t>significant to families, both as a source of relief, but also as one of conflict.</w:t>
      </w:r>
      <w:r w:rsidRPr="090C4359" w:rsidR="002F3088">
        <w:rPr>
          <w:rStyle w:val="FootnoteReference"/>
        </w:rPr>
        <w:footnoteReference w:id="114"/>
      </w:r>
      <w:r w:rsidRPr="090C4359" w:rsidR="000A08B8">
        <w:t xml:space="preserve"> </w:t>
      </w:r>
      <w:r w:rsidRPr="090C4359" w:rsidR="000A54EC">
        <w:rPr>
          <w:color w:val="000000"/>
        </w:rPr>
        <w:t>As Katz et al note, ‘</w:t>
      </w:r>
      <w:r w:rsidRPr="090C4359" w:rsidR="00944216">
        <w:t>[c]</w:t>
      </w:r>
      <w:r w:rsidRPr="090C4359" w:rsidR="00320F72">
        <w:t>linicians are tasked, often in a brief window of time, with understanding how individual parents get through each day, and how they think about their child’s illness in the context of their broader values, culture and psychosocial background. The relationship between clinicians and families is paramount and is at risk of being</w:t>
      </w:r>
      <w:r w:rsidRPr="004D5C71" w:rsidR="00320F72">
        <w:rPr>
          <w:rFonts w:ascii="Segoe UI" w:hAnsi="Segoe UI" w:cs="Segoe UI"/>
        </w:rPr>
        <w:t xml:space="preserve"> </w:t>
      </w:r>
      <w:r w:rsidRPr="090C4359" w:rsidR="00320F72">
        <w:t>fractured when parents and/or clinicians feel misunderstood or unheard.</w:t>
      </w:r>
      <w:r w:rsidRPr="090C4359" w:rsidR="000A54EC">
        <w:t>’</w:t>
      </w:r>
      <w:r w:rsidRPr="090C4359" w:rsidR="000A54EC">
        <w:rPr>
          <w:rStyle w:val="FootnoteReference"/>
        </w:rPr>
        <w:footnoteReference w:id="115"/>
      </w:r>
      <w:r w:rsidRPr="090C4359" w:rsidR="005B472E">
        <w:t xml:space="preserve"> </w:t>
      </w:r>
      <w:r w:rsidRPr="090C4359" w:rsidR="005B7E3E">
        <w:t xml:space="preserve">Poor </w:t>
      </w:r>
      <w:r w:rsidRPr="090C4359" w:rsidR="00CD28E0">
        <w:t>c</w:t>
      </w:r>
      <w:r w:rsidRPr="090C4359" w:rsidR="008E24AA">
        <w:t>ommunication</w:t>
      </w:r>
      <w:r w:rsidRPr="090C4359" w:rsidR="000A08B8">
        <w:t xml:space="preserve"> can</w:t>
      </w:r>
      <w:r w:rsidRPr="090C4359" w:rsidR="005B7E3E">
        <w:t xml:space="preserve"> be a key contr</w:t>
      </w:r>
      <w:r w:rsidRPr="090C4359" w:rsidR="00655CA1">
        <w:t xml:space="preserve">ibutor </w:t>
      </w:r>
      <w:r w:rsidRPr="090C4359" w:rsidR="008771B1">
        <w:t>to</w:t>
      </w:r>
      <w:r w:rsidRPr="090C4359" w:rsidR="00655CA1">
        <w:t xml:space="preserve"> disagreement</w:t>
      </w:r>
      <w:r w:rsidRPr="090C4359" w:rsidR="00190BB0">
        <w:t>, with</w:t>
      </w:r>
      <w:r w:rsidRPr="090C4359" w:rsidR="00190BB0">
        <w:rPr>
          <w:color w:val="0070C0"/>
        </w:rPr>
        <w:t xml:space="preserve"> </w:t>
      </w:r>
      <w:r w:rsidRPr="090C4359" w:rsidR="00190BB0">
        <w:t xml:space="preserve">Bateman et al </w:t>
      </w:r>
      <w:r w:rsidRPr="090C4359" w:rsidR="00234E9B">
        <w:t>finding</w:t>
      </w:r>
      <w:r w:rsidRPr="090C4359" w:rsidR="00190BB0">
        <w:t xml:space="preserve"> that ‘communication with providers has been historically ranked at the bottom of the list in terms of patient satisfaction’</w:t>
      </w:r>
      <w:r w:rsidRPr="090C4359" w:rsidR="00234E9B">
        <w:t>,</w:t>
      </w:r>
      <w:r w:rsidRPr="090C4359" w:rsidR="00174EA2">
        <w:t xml:space="preserve"> </w:t>
      </w:r>
      <w:r w:rsidRPr="090C4359" w:rsidR="00234E9B">
        <w:t>and that doctors personal characteristics</w:t>
      </w:r>
      <w:r w:rsidRPr="090C4359" w:rsidR="008C78DA">
        <w:t>, such as gender and parental status,</w:t>
      </w:r>
      <w:r w:rsidRPr="090C4359" w:rsidR="00234E9B">
        <w:t xml:space="preserve"> and communication style can </w:t>
      </w:r>
      <w:r w:rsidRPr="090C4359" w:rsidR="00C31E1F">
        <w:t>influence patient care decisions.</w:t>
      </w:r>
      <w:r w:rsidRPr="090C4359" w:rsidR="00174EA2">
        <w:rPr>
          <w:rStyle w:val="FootnoteReference"/>
        </w:rPr>
        <w:t xml:space="preserve"> </w:t>
      </w:r>
      <w:r w:rsidRPr="090C4359" w:rsidR="00174EA2">
        <w:rPr>
          <w:rStyle w:val="FootnoteReference"/>
        </w:rPr>
        <w:footnoteReference w:id="116"/>
      </w:r>
      <w:r w:rsidRPr="090C4359" w:rsidR="00AA300E">
        <w:t xml:space="preserve"> </w:t>
      </w:r>
    </w:p>
    <w:p w:rsidRPr="004D5C71" w:rsidR="005D4C9B" w:rsidP="002B566C" w:rsidRDefault="005D4C9B" w14:paraId="5B94FC11" w14:textId="77777777">
      <w:pPr>
        <w:pStyle w:val="Normal0"/>
        <w:rPr>
          <w:rFonts w:ascii="Segoe UI" w:hAnsi="Segoe UI" w:cs="Segoe UI"/>
          <w:sz w:val="22"/>
          <w:szCs w:val="22"/>
        </w:rPr>
      </w:pPr>
    </w:p>
    <w:p w:rsidRPr="00184722" w:rsidR="008E24AA" w:rsidP="00187EF1" w:rsidRDefault="005839D1" w14:paraId="60D72A36" w14:textId="0203E3A7">
      <w:pPr>
        <w:pStyle w:val="Normal0"/>
        <w:numPr>
          <w:ilvl w:val="0"/>
          <w:numId w:val="2"/>
        </w:numPr>
        <w:jc w:val="both"/>
        <w:rPr>
          <w:rFonts w:asciiTheme="minorHAnsi" w:hAnsiTheme="minorHAnsi" w:cstheme="minorHAnsi"/>
          <w:sz w:val="22"/>
          <w:szCs w:val="22"/>
        </w:rPr>
      </w:pPr>
      <w:r w:rsidRPr="090C4359">
        <w:rPr>
          <w:rFonts w:asciiTheme="minorHAnsi" w:hAnsiTheme="minorHAnsi" w:cstheme="minorBidi"/>
          <w:sz w:val="22"/>
          <w:szCs w:val="22"/>
        </w:rPr>
        <w:t xml:space="preserve">In </w:t>
      </w:r>
      <w:r w:rsidRPr="090C4359">
        <w:rPr>
          <w:rFonts w:asciiTheme="minorHAnsi" w:hAnsiTheme="minorHAnsi" w:cstheme="minorBidi"/>
          <w:i/>
          <w:iCs/>
          <w:sz w:val="22"/>
          <w:szCs w:val="22"/>
        </w:rPr>
        <w:t>Battersbee</w:t>
      </w:r>
      <w:r w:rsidRPr="090C4359">
        <w:rPr>
          <w:rFonts w:asciiTheme="minorHAnsi" w:hAnsiTheme="minorHAnsi" w:cstheme="minorBidi"/>
          <w:sz w:val="22"/>
          <w:szCs w:val="22"/>
        </w:rPr>
        <w:t xml:space="preserve">, the initial trigger for the disagreement that followed appeared to be related to the </w:t>
      </w:r>
      <w:r w:rsidRPr="090C4359">
        <w:rPr>
          <w:rFonts w:asciiTheme="minorHAnsi" w:hAnsiTheme="minorHAnsi" w:cstheme="minorBidi"/>
          <w:i/>
          <w:iCs/>
          <w:sz w:val="22"/>
          <w:szCs w:val="22"/>
        </w:rPr>
        <w:t xml:space="preserve">timing </w:t>
      </w:r>
      <w:r w:rsidRPr="090C4359">
        <w:rPr>
          <w:rFonts w:asciiTheme="minorHAnsi" w:hAnsiTheme="minorHAnsi" w:cstheme="minorBidi"/>
          <w:sz w:val="22"/>
          <w:szCs w:val="22"/>
        </w:rPr>
        <w:t>of a conversation</w:t>
      </w:r>
      <w:r w:rsidRPr="090C4359" w:rsidR="00246308">
        <w:rPr>
          <w:rFonts w:asciiTheme="minorHAnsi" w:hAnsiTheme="minorHAnsi" w:cstheme="minorBidi"/>
          <w:sz w:val="22"/>
          <w:szCs w:val="22"/>
        </w:rPr>
        <w:t xml:space="preserve">, </w:t>
      </w:r>
      <w:r w:rsidRPr="090C4359" w:rsidR="00E446C1">
        <w:rPr>
          <w:rFonts w:asciiTheme="minorHAnsi" w:hAnsiTheme="minorHAnsi" w:cstheme="minorBidi"/>
          <w:sz w:val="22"/>
          <w:szCs w:val="22"/>
        </w:rPr>
        <w:t>as</w:t>
      </w:r>
      <w:r w:rsidRPr="090C4359" w:rsidR="00246308">
        <w:rPr>
          <w:rFonts w:asciiTheme="minorHAnsi" w:hAnsiTheme="minorHAnsi" w:cstheme="minorBidi"/>
          <w:sz w:val="22"/>
          <w:szCs w:val="22"/>
        </w:rPr>
        <w:t xml:space="preserve"> Arthbuth</w:t>
      </w:r>
      <w:r w:rsidRPr="090C4359" w:rsidR="00BB2A56">
        <w:rPr>
          <w:rFonts w:asciiTheme="minorHAnsi" w:hAnsiTheme="minorHAnsi" w:cstheme="minorBidi"/>
          <w:sz w:val="22"/>
          <w:szCs w:val="22"/>
        </w:rPr>
        <w:t>not J recount</w:t>
      </w:r>
      <w:r w:rsidRPr="090C4359" w:rsidR="00E446C1">
        <w:rPr>
          <w:rFonts w:asciiTheme="minorHAnsi" w:hAnsiTheme="minorHAnsi" w:cstheme="minorBidi"/>
          <w:sz w:val="22"/>
          <w:szCs w:val="22"/>
        </w:rPr>
        <w:t>ed,</w:t>
      </w:r>
      <w:r w:rsidRPr="090C4359" w:rsidR="00BB2A56">
        <w:rPr>
          <w:rFonts w:asciiTheme="minorHAnsi" w:hAnsiTheme="minorHAnsi" w:cstheme="minorBidi"/>
          <w:sz w:val="22"/>
          <w:szCs w:val="22"/>
        </w:rPr>
        <w:t xml:space="preserve"> </w:t>
      </w:r>
      <w:r w:rsidRPr="090C4359" w:rsidR="00E446C1">
        <w:rPr>
          <w:rFonts w:asciiTheme="minorHAnsi" w:hAnsiTheme="minorHAnsi" w:cstheme="minorBidi"/>
          <w:sz w:val="22"/>
          <w:szCs w:val="22"/>
        </w:rPr>
        <w:t>‘</w:t>
      </w:r>
      <w:r w:rsidRPr="090C4359" w:rsidR="00BB2A56">
        <w:rPr>
          <w:rFonts w:asciiTheme="minorHAnsi" w:hAnsiTheme="minorHAnsi" w:cstheme="minorBidi"/>
          <w:sz w:val="22"/>
          <w:szCs w:val="22"/>
        </w:rPr>
        <w:t>the</w:t>
      </w:r>
      <w:r w:rsidRPr="090C4359" w:rsidR="00FD56B9">
        <w:rPr>
          <w:rFonts w:asciiTheme="minorHAnsi" w:hAnsiTheme="minorHAnsi" w:cstheme="minorBidi"/>
          <w:sz w:val="22"/>
          <w:szCs w:val="22"/>
        </w:rPr>
        <w:t xml:space="preserve"> family objected to the position taken by the hospital within three days of their arrival that he was not going to make it through. The family were very upset that a Consultant had raised the question of organ donation at this very early stage of Archie’s admission’</w:t>
      </w:r>
      <w:r w:rsidRPr="090C4359" w:rsidR="008E7A85">
        <w:rPr>
          <w:rFonts w:asciiTheme="minorHAnsi" w:hAnsiTheme="minorHAnsi" w:cstheme="minorBidi"/>
          <w:sz w:val="22"/>
          <w:szCs w:val="22"/>
        </w:rPr>
        <w:t>.</w:t>
      </w:r>
      <w:r w:rsidRPr="090C4359" w:rsidR="00FD56B9">
        <w:rPr>
          <w:rStyle w:val="FootnoteReference"/>
          <w:rFonts w:asciiTheme="minorHAnsi" w:hAnsiTheme="minorHAnsi" w:cstheme="minorBidi"/>
          <w:sz w:val="22"/>
          <w:szCs w:val="22"/>
        </w:rPr>
        <w:footnoteReference w:id="117"/>
      </w:r>
      <w:r w:rsidRPr="090C4359" w:rsidR="008E24AA">
        <w:rPr>
          <w:rFonts w:asciiTheme="minorHAnsi" w:hAnsiTheme="minorHAnsi" w:cstheme="minorBidi"/>
          <w:sz w:val="22"/>
          <w:szCs w:val="22"/>
        </w:rPr>
        <w:t xml:space="preserve"> </w:t>
      </w:r>
      <w:r w:rsidRPr="090C4359" w:rsidR="00E81FAB">
        <w:rPr>
          <w:rFonts w:asciiTheme="minorHAnsi" w:hAnsiTheme="minorHAnsi" w:cstheme="minorBidi"/>
          <w:sz w:val="22"/>
          <w:szCs w:val="22"/>
        </w:rPr>
        <w:t xml:space="preserve">However at this stage, </w:t>
      </w:r>
      <w:r w:rsidRPr="090C4359" w:rsidR="008E3CA3">
        <w:rPr>
          <w:rFonts w:asciiTheme="minorHAnsi" w:hAnsiTheme="minorHAnsi" w:cstheme="minorBidi"/>
          <w:sz w:val="22"/>
          <w:szCs w:val="22"/>
        </w:rPr>
        <w:t>the negat</w:t>
      </w:r>
      <w:r w:rsidRPr="090C4359" w:rsidR="00FC06C5">
        <w:rPr>
          <w:rFonts w:asciiTheme="minorHAnsi" w:hAnsiTheme="minorHAnsi" w:cstheme="minorBidi"/>
          <w:sz w:val="22"/>
          <w:szCs w:val="22"/>
        </w:rPr>
        <w:t xml:space="preserve">ive impact on doctor-family communication </w:t>
      </w:r>
      <w:r w:rsidRPr="090C4359" w:rsidR="005F0948">
        <w:rPr>
          <w:rFonts w:asciiTheme="minorHAnsi" w:hAnsiTheme="minorHAnsi" w:cstheme="minorBidi"/>
          <w:sz w:val="22"/>
          <w:szCs w:val="22"/>
        </w:rPr>
        <w:t xml:space="preserve">was distinct from the relationship </w:t>
      </w:r>
      <w:r w:rsidRPr="090C4359" w:rsidR="00C905D8">
        <w:rPr>
          <w:rFonts w:asciiTheme="minorHAnsi" w:hAnsiTheme="minorHAnsi" w:cstheme="minorBidi"/>
          <w:sz w:val="22"/>
          <w:szCs w:val="22"/>
        </w:rPr>
        <w:t>between</w:t>
      </w:r>
      <w:r w:rsidRPr="090C4359" w:rsidR="005F0948">
        <w:rPr>
          <w:rFonts w:asciiTheme="minorHAnsi" w:hAnsiTheme="minorHAnsi" w:cstheme="minorBidi"/>
          <w:sz w:val="22"/>
          <w:szCs w:val="22"/>
        </w:rPr>
        <w:t xml:space="preserve"> the </w:t>
      </w:r>
      <w:r w:rsidRPr="090C4359" w:rsidR="00216D4F">
        <w:rPr>
          <w:rFonts w:asciiTheme="minorHAnsi" w:hAnsiTheme="minorHAnsi" w:cstheme="minorBidi"/>
          <w:sz w:val="22"/>
          <w:szCs w:val="22"/>
        </w:rPr>
        <w:t>nurses and the family</w:t>
      </w:r>
      <w:r w:rsidRPr="090C4359" w:rsidR="0016546E">
        <w:rPr>
          <w:rFonts w:asciiTheme="minorHAnsi" w:hAnsiTheme="minorHAnsi" w:cstheme="minorBidi"/>
          <w:sz w:val="22"/>
          <w:szCs w:val="22"/>
        </w:rPr>
        <w:t>,</w:t>
      </w:r>
      <w:r w:rsidRPr="090C4359" w:rsidR="00216D4F">
        <w:rPr>
          <w:rFonts w:asciiTheme="minorHAnsi" w:hAnsiTheme="minorHAnsi" w:cstheme="minorBidi"/>
          <w:sz w:val="22"/>
          <w:szCs w:val="22"/>
        </w:rPr>
        <w:t xml:space="preserve"> who had ‘</w:t>
      </w:r>
      <w:r w:rsidRPr="090C4359" w:rsidR="008E24AA">
        <w:rPr>
          <w:rFonts w:asciiTheme="minorHAnsi" w:hAnsiTheme="minorHAnsi" w:cstheme="minorBidi"/>
          <w:sz w:val="22"/>
          <w:szCs w:val="22"/>
        </w:rPr>
        <w:t>nothing but good to say</w:t>
      </w:r>
      <w:r w:rsidRPr="090C4359" w:rsidR="008E24AA">
        <w:rPr>
          <w:rFonts w:asciiTheme="minorHAnsi" w:hAnsiTheme="minorHAnsi" w:cstheme="minorBidi"/>
        </w:rPr>
        <w:t xml:space="preserve"> about each </w:t>
      </w:r>
      <w:r w:rsidRPr="090C4359" w:rsidR="008E24AA">
        <w:rPr>
          <w:rFonts w:asciiTheme="minorHAnsi" w:hAnsiTheme="minorHAnsi" w:cstheme="minorBidi"/>
          <w:sz w:val="22"/>
          <w:szCs w:val="22"/>
        </w:rPr>
        <w:t>other.’</w:t>
      </w:r>
      <w:r w:rsidRPr="090C4359" w:rsidR="008E24AA">
        <w:rPr>
          <w:rStyle w:val="FootnoteReference"/>
          <w:rFonts w:asciiTheme="minorHAnsi" w:hAnsiTheme="minorHAnsi" w:cstheme="minorBidi"/>
          <w:sz w:val="22"/>
          <w:szCs w:val="22"/>
        </w:rPr>
        <w:footnoteReference w:id="118"/>
      </w:r>
      <w:r w:rsidRPr="090C4359" w:rsidR="005436DC">
        <w:rPr>
          <w:rFonts w:asciiTheme="minorHAnsi" w:hAnsiTheme="minorHAnsi" w:cstheme="minorBidi"/>
          <w:sz w:val="22"/>
          <w:szCs w:val="22"/>
        </w:rPr>
        <w:t xml:space="preserve"> </w:t>
      </w:r>
    </w:p>
    <w:p w:rsidRPr="00184722" w:rsidR="008E7C96" w:rsidP="008E7C96" w:rsidRDefault="008E7C96" w14:paraId="1E1E8412" w14:textId="77777777">
      <w:pPr>
        <w:pStyle w:val="ListParagraph"/>
        <w:rPr>
          <w:rFonts w:cstheme="minorHAnsi"/>
        </w:rPr>
      </w:pPr>
    </w:p>
    <w:p w:rsidRPr="00184722" w:rsidR="00723DCA" w:rsidP="00187EF1" w:rsidRDefault="005A6AC6" w14:paraId="09D0ACC2" w14:textId="47B3E6A2">
      <w:pPr>
        <w:pStyle w:val="Normal0"/>
        <w:numPr>
          <w:ilvl w:val="0"/>
          <w:numId w:val="2"/>
        </w:numPr>
        <w:jc w:val="both"/>
        <w:rPr>
          <w:rFonts w:asciiTheme="minorHAnsi" w:hAnsiTheme="minorHAnsi" w:cstheme="minorHAnsi"/>
          <w:sz w:val="22"/>
          <w:szCs w:val="22"/>
        </w:rPr>
      </w:pPr>
      <w:r w:rsidRPr="090C4359">
        <w:rPr>
          <w:rFonts w:asciiTheme="minorHAnsi" w:hAnsiTheme="minorHAnsi" w:cstheme="minorBidi"/>
          <w:sz w:val="22"/>
          <w:szCs w:val="22"/>
        </w:rPr>
        <w:t>P</w:t>
      </w:r>
      <w:r w:rsidRPr="090C4359" w:rsidR="00C966EC">
        <w:rPr>
          <w:rFonts w:asciiTheme="minorHAnsi" w:hAnsiTheme="minorHAnsi" w:cstheme="minorBidi"/>
          <w:sz w:val="22"/>
          <w:szCs w:val="22"/>
        </w:rPr>
        <w:t>arents</w:t>
      </w:r>
      <w:r w:rsidRPr="090C4359" w:rsidR="002A3B75">
        <w:rPr>
          <w:rFonts w:asciiTheme="minorHAnsi" w:hAnsiTheme="minorHAnsi" w:cstheme="minorBidi"/>
          <w:sz w:val="22"/>
          <w:szCs w:val="22"/>
        </w:rPr>
        <w:t>’</w:t>
      </w:r>
      <w:r w:rsidRPr="090C4359" w:rsidR="00C966EC">
        <w:rPr>
          <w:rFonts w:asciiTheme="minorHAnsi" w:hAnsiTheme="minorHAnsi" w:cstheme="minorBidi"/>
          <w:sz w:val="22"/>
          <w:szCs w:val="22"/>
        </w:rPr>
        <w:t xml:space="preserve"> sense of</w:t>
      </w:r>
      <w:r w:rsidRPr="090C4359" w:rsidR="00CA0E37">
        <w:rPr>
          <w:rFonts w:asciiTheme="minorHAnsi" w:hAnsiTheme="minorHAnsi" w:cstheme="minorBidi"/>
          <w:sz w:val="22"/>
          <w:szCs w:val="22"/>
        </w:rPr>
        <w:t xml:space="preserve"> powerless</w:t>
      </w:r>
      <w:r w:rsidRPr="090C4359" w:rsidR="00C966EC">
        <w:rPr>
          <w:rFonts w:asciiTheme="minorHAnsi" w:hAnsiTheme="minorHAnsi" w:cstheme="minorBidi"/>
          <w:sz w:val="22"/>
          <w:szCs w:val="22"/>
        </w:rPr>
        <w:t>ness and</w:t>
      </w:r>
      <w:r w:rsidRPr="090C4359" w:rsidR="002E2770">
        <w:rPr>
          <w:rFonts w:asciiTheme="minorHAnsi" w:hAnsiTheme="minorHAnsi" w:cstheme="minorBidi"/>
          <w:sz w:val="22"/>
          <w:szCs w:val="22"/>
        </w:rPr>
        <w:t xml:space="preserve"> desire to </w:t>
      </w:r>
      <w:r w:rsidRPr="090C4359" w:rsidR="00195B6E">
        <w:rPr>
          <w:rFonts w:asciiTheme="minorHAnsi" w:hAnsiTheme="minorHAnsi" w:cstheme="minorBidi"/>
          <w:sz w:val="22"/>
          <w:szCs w:val="22"/>
        </w:rPr>
        <w:t>take back some control</w:t>
      </w:r>
      <w:r w:rsidRPr="090C4359" w:rsidR="002E2770">
        <w:rPr>
          <w:rFonts w:asciiTheme="minorHAnsi" w:hAnsiTheme="minorHAnsi" w:cstheme="minorBidi"/>
          <w:sz w:val="22"/>
          <w:szCs w:val="22"/>
        </w:rPr>
        <w:t>,</w:t>
      </w:r>
      <w:r w:rsidRPr="090C4359" w:rsidR="006A0103">
        <w:rPr>
          <w:rStyle w:val="FootnoteReference"/>
          <w:rFonts w:asciiTheme="minorHAnsi" w:hAnsiTheme="minorHAnsi" w:cstheme="minorBidi"/>
          <w:sz w:val="22"/>
          <w:szCs w:val="22"/>
        </w:rPr>
        <w:footnoteReference w:id="119"/>
      </w:r>
      <w:r w:rsidRPr="090C4359" w:rsidR="002E2770">
        <w:rPr>
          <w:rFonts w:asciiTheme="minorHAnsi" w:hAnsiTheme="minorHAnsi" w:cstheme="minorBidi"/>
          <w:sz w:val="22"/>
          <w:szCs w:val="22"/>
        </w:rPr>
        <w:t xml:space="preserve"> can </w:t>
      </w:r>
      <w:r w:rsidRPr="090C4359" w:rsidR="00195B6E">
        <w:rPr>
          <w:rFonts w:asciiTheme="minorHAnsi" w:hAnsiTheme="minorHAnsi" w:cstheme="minorBidi"/>
          <w:sz w:val="22"/>
          <w:szCs w:val="22"/>
        </w:rPr>
        <w:t>manifest itself in disputes over</w:t>
      </w:r>
      <w:r w:rsidRPr="090C4359" w:rsidR="00C3195E">
        <w:rPr>
          <w:rFonts w:asciiTheme="minorHAnsi" w:hAnsiTheme="minorHAnsi" w:cstheme="minorBidi"/>
          <w:sz w:val="22"/>
          <w:szCs w:val="22"/>
        </w:rPr>
        <w:t xml:space="preserve"> who the prime</w:t>
      </w:r>
      <w:r w:rsidRPr="090C4359" w:rsidR="009C6DC7">
        <w:rPr>
          <w:rFonts w:asciiTheme="minorHAnsi" w:hAnsiTheme="minorHAnsi" w:cstheme="minorBidi"/>
          <w:sz w:val="22"/>
          <w:szCs w:val="22"/>
        </w:rPr>
        <w:t xml:space="preserve"> decision-mak</w:t>
      </w:r>
      <w:r w:rsidRPr="090C4359" w:rsidR="00C3195E">
        <w:rPr>
          <w:rFonts w:asciiTheme="minorHAnsi" w:hAnsiTheme="minorHAnsi" w:cstheme="minorBidi"/>
          <w:sz w:val="22"/>
          <w:szCs w:val="22"/>
        </w:rPr>
        <w:t>er should be.</w:t>
      </w:r>
      <w:r w:rsidRPr="090C4359" w:rsidR="00ED54BE">
        <w:rPr>
          <w:rFonts w:asciiTheme="minorHAnsi" w:hAnsiTheme="minorHAnsi" w:cstheme="minorBidi"/>
          <w:sz w:val="22"/>
          <w:szCs w:val="22"/>
        </w:rPr>
        <w:t xml:space="preserve"> Whilst shared decision-making is generally the goal, Richards et </w:t>
      </w:r>
      <w:r w:rsidRPr="090C4359" w:rsidR="006975E2">
        <w:rPr>
          <w:rFonts w:asciiTheme="minorHAnsi" w:hAnsiTheme="minorHAnsi" w:cstheme="minorBidi"/>
          <w:sz w:val="22"/>
          <w:szCs w:val="22"/>
        </w:rPr>
        <w:t>al’s study</w:t>
      </w:r>
      <w:r w:rsidRPr="090C4359" w:rsidR="00C43E1B">
        <w:rPr>
          <w:rFonts w:asciiTheme="minorHAnsi" w:hAnsiTheme="minorHAnsi" w:cstheme="minorBidi"/>
          <w:sz w:val="22"/>
          <w:szCs w:val="22"/>
        </w:rPr>
        <w:t xml:space="preserve"> discussed that PICU doctors varied in the extent they engaged parents in decision-making.</w:t>
      </w:r>
      <w:r w:rsidRPr="090C4359" w:rsidR="00C43E1B">
        <w:rPr>
          <w:rStyle w:val="FootnoteReference"/>
          <w:rFonts w:asciiTheme="minorHAnsi" w:hAnsiTheme="minorHAnsi" w:cstheme="minorBidi"/>
          <w:sz w:val="22"/>
          <w:szCs w:val="22"/>
        </w:rPr>
        <w:footnoteReference w:id="120"/>
      </w:r>
      <w:r w:rsidRPr="090C4359" w:rsidR="00C43E1B">
        <w:rPr>
          <w:rFonts w:asciiTheme="minorHAnsi" w:hAnsiTheme="minorHAnsi" w:cstheme="minorBidi"/>
          <w:sz w:val="22"/>
          <w:szCs w:val="22"/>
        </w:rPr>
        <w:t xml:space="preserve"> This can lead to a sense of exclusion</w:t>
      </w:r>
      <w:r w:rsidRPr="090C4359" w:rsidR="00272721">
        <w:rPr>
          <w:rFonts w:asciiTheme="minorHAnsi" w:hAnsiTheme="minorHAnsi" w:cstheme="minorBidi"/>
          <w:sz w:val="22"/>
          <w:szCs w:val="22"/>
        </w:rPr>
        <w:t xml:space="preserve"> as</w:t>
      </w:r>
      <w:r w:rsidRPr="090C4359" w:rsidR="009C6DC7">
        <w:rPr>
          <w:rFonts w:asciiTheme="minorHAnsi" w:hAnsiTheme="minorHAnsi" w:cstheme="minorBidi"/>
          <w:sz w:val="22"/>
          <w:szCs w:val="22"/>
        </w:rPr>
        <w:t xml:space="preserve"> </w:t>
      </w:r>
      <w:r w:rsidRPr="090C4359" w:rsidR="00370B8D">
        <w:rPr>
          <w:rFonts w:asciiTheme="minorHAnsi" w:hAnsiTheme="minorHAnsi" w:cstheme="minorBidi"/>
          <w:sz w:val="22"/>
          <w:szCs w:val="22"/>
        </w:rPr>
        <w:t xml:space="preserve">Mooney-Doyle and Ulrich </w:t>
      </w:r>
      <w:r w:rsidRPr="090C4359" w:rsidR="00C809DF">
        <w:rPr>
          <w:rFonts w:asciiTheme="minorHAnsi" w:hAnsiTheme="minorHAnsi" w:cstheme="minorBidi"/>
          <w:sz w:val="22"/>
          <w:szCs w:val="22"/>
        </w:rPr>
        <w:t>recount</w:t>
      </w:r>
      <w:r w:rsidRPr="090C4359" w:rsidR="00A462AF">
        <w:rPr>
          <w:rFonts w:asciiTheme="minorHAnsi" w:hAnsiTheme="minorHAnsi" w:cstheme="minorBidi"/>
          <w:sz w:val="22"/>
          <w:szCs w:val="22"/>
        </w:rPr>
        <w:t>:</w:t>
      </w:r>
      <w:r w:rsidRPr="090C4359" w:rsidR="00C809DF">
        <w:rPr>
          <w:rFonts w:asciiTheme="minorHAnsi" w:hAnsiTheme="minorHAnsi" w:cstheme="minorBidi"/>
          <w:sz w:val="22"/>
          <w:szCs w:val="22"/>
        </w:rPr>
        <w:t xml:space="preserve"> ‘parents experienced lingering negative emotions when healthcare providers were insensitive (…) toward their desire to fulfil</w:t>
      </w:r>
      <w:r w:rsidRPr="090C4359" w:rsidR="0087068E">
        <w:rPr>
          <w:rFonts w:asciiTheme="minorHAnsi" w:hAnsiTheme="minorHAnsi" w:cstheme="minorBidi"/>
          <w:sz w:val="22"/>
          <w:szCs w:val="22"/>
        </w:rPr>
        <w:t xml:space="preserve"> </w:t>
      </w:r>
      <w:r w:rsidRPr="090C4359" w:rsidR="00C809DF">
        <w:rPr>
          <w:rFonts w:asciiTheme="minorHAnsi" w:hAnsiTheme="minorHAnsi" w:cstheme="minorBidi"/>
          <w:sz w:val="22"/>
          <w:szCs w:val="22"/>
        </w:rPr>
        <w:t>parental roles</w:t>
      </w:r>
      <w:r w:rsidRPr="090C4359" w:rsidR="008C77EA">
        <w:rPr>
          <w:rFonts w:asciiTheme="minorHAnsi" w:hAnsiTheme="minorHAnsi" w:cstheme="minorBidi"/>
          <w:sz w:val="22"/>
          <w:szCs w:val="22"/>
        </w:rPr>
        <w:t xml:space="preserve"> (…)</w:t>
      </w:r>
      <w:r w:rsidRPr="090C4359" w:rsidR="00C809DF">
        <w:rPr>
          <w:rFonts w:asciiTheme="minorHAnsi" w:hAnsiTheme="minorHAnsi" w:cstheme="minorBidi"/>
          <w:sz w:val="22"/>
          <w:szCs w:val="22"/>
        </w:rPr>
        <w:t xml:space="preserve"> parents in this study described “choice as a freedom” because they did not feel in control of decision making</w:t>
      </w:r>
      <w:r w:rsidRPr="090C4359" w:rsidR="008C77EA">
        <w:rPr>
          <w:rFonts w:asciiTheme="minorHAnsi" w:hAnsiTheme="minorHAnsi" w:cstheme="minorBidi"/>
          <w:sz w:val="22"/>
          <w:szCs w:val="22"/>
        </w:rPr>
        <w:t>’.</w:t>
      </w:r>
      <w:r w:rsidRPr="090C4359" w:rsidR="00CF23B5">
        <w:rPr>
          <w:rStyle w:val="FootnoteReference"/>
          <w:rFonts w:asciiTheme="minorHAnsi" w:hAnsiTheme="minorHAnsi" w:cstheme="minorBidi"/>
          <w:sz w:val="22"/>
          <w:szCs w:val="22"/>
        </w:rPr>
        <w:footnoteReference w:id="121"/>
      </w:r>
      <w:r w:rsidRPr="090C4359" w:rsidR="008C77EA">
        <w:rPr>
          <w:rFonts w:asciiTheme="minorHAnsi" w:hAnsiTheme="minorHAnsi" w:cstheme="minorBidi"/>
          <w:sz w:val="22"/>
          <w:szCs w:val="22"/>
        </w:rPr>
        <w:t xml:space="preserve">  </w:t>
      </w:r>
      <w:r w:rsidRPr="090C4359" w:rsidR="001C2628">
        <w:rPr>
          <w:rFonts w:asciiTheme="minorHAnsi" w:hAnsiTheme="minorHAnsi" w:cstheme="minorBidi"/>
          <w:sz w:val="22"/>
          <w:szCs w:val="22"/>
        </w:rPr>
        <w:t>As Archard discusses</w:t>
      </w:r>
      <w:r w:rsidRPr="090C4359" w:rsidR="00ED7622">
        <w:rPr>
          <w:rFonts w:asciiTheme="minorHAnsi" w:hAnsiTheme="minorHAnsi" w:cstheme="minorBidi"/>
          <w:sz w:val="22"/>
          <w:szCs w:val="22"/>
        </w:rPr>
        <w:t>,</w:t>
      </w:r>
      <w:r w:rsidRPr="090C4359" w:rsidR="001C2628">
        <w:rPr>
          <w:rFonts w:asciiTheme="minorHAnsi" w:hAnsiTheme="minorHAnsi" w:cstheme="minorBidi"/>
          <w:sz w:val="22"/>
          <w:szCs w:val="22"/>
        </w:rPr>
        <w:t xml:space="preserve"> t</w:t>
      </w:r>
      <w:r w:rsidRPr="090C4359" w:rsidR="008C77EA">
        <w:rPr>
          <w:rFonts w:asciiTheme="minorHAnsi" w:hAnsiTheme="minorHAnsi" w:cstheme="minorBidi"/>
          <w:sz w:val="22"/>
          <w:szCs w:val="22"/>
        </w:rPr>
        <w:t xml:space="preserve">his response was also seen in </w:t>
      </w:r>
      <w:r w:rsidRPr="090C4359" w:rsidR="008C77EA">
        <w:rPr>
          <w:rFonts w:asciiTheme="minorHAnsi" w:hAnsiTheme="minorHAnsi" w:cstheme="minorBidi"/>
          <w:i/>
          <w:iCs/>
          <w:sz w:val="22"/>
          <w:szCs w:val="22"/>
        </w:rPr>
        <w:t>Gard</w:t>
      </w:r>
      <w:r w:rsidRPr="090C4359" w:rsidR="008C77EA">
        <w:rPr>
          <w:rFonts w:asciiTheme="minorHAnsi" w:hAnsiTheme="minorHAnsi" w:cstheme="minorBidi"/>
          <w:sz w:val="22"/>
          <w:szCs w:val="22"/>
        </w:rPr>
        <w:t xml:space="preserve">, </w:t>
      </w:r>
      <w:r w:rsidRPr="090C4359" w:rsidR="00C77430">
        <w:rPr>
          <w:rFonts w:asciiTheme="minorHAnsi" w:hAnsiTheme="minorHAnsi" w:cstheme="minorBidi"/>
          <w:sz w:val="22"/>
          <w:szCs w:val="22"/>
        </w:rPr>
        <w:t>in the adoption of the slogan ‘My Child, My Choice’</w:t>
      </w:r>
      <w:r w:rsidRPr="090C4359" w:rsidR="00B61F10">
        <w:rPr>
          <w:rFonts w:asciiTheme="minorHAnsi" w:hAnsiTheme="minorHAnsi" w:cstheme="minorBidi"/>
          <w:sz w:val="22"/>
          <w:szCs w:val="22"/>
        </w:rPr>
        <w:t>.</w:t>
      </w:r>
      <w:r w:rsidRPr="090C4359" w:rsidR="00C77430">
        <w:rPr>
          <w:rStyle w:val="FootnoteReference"/>
          <w:rFonts w:asciiTheme="minorHAnsi" w:hAnsiTheme="minorHAnsi" w:cstheme="minorBidi"/>
          <w:sz w:val="22"/>
          <w:szCs w:val="22"/>
        </w:rPr>
        <w:footnoteReference w:id="122"/>
      </w:r>
      <w:r w:rsidRPr="090C4359" w:rsidR="00C77430">
        <w:rPr>
          <w:rFonts w:asciiTheme="minorHAnsi" w:hAnsiTheme="minorHAnsi" w:cstheme="minorBidi"/>
          <w:sz w:val="22"/>
          <w:szCs w:val="22"/>
        </w:rPr>
        <w:t xml:space="preserve"> </w:t>
      </w:r>
      <w:r w:rsidRPr="090C4359" w:rsidR="00B61F10">
        <w:rPr>
          <w:rFonts w:asciiTheme="minorHAnsi" w:hAnsiTheme="minorHAnsi" w:cstheme="minorBidi"/>
          <w:sz w:val="22"/>
          <w:szCs w:val="22"/>
        </w:rPr>
        <w:t>The justifications given for parents being the prime decision-makers often turn on sacrificial narratives</w:t>
      </w:r>
      <w:r w:rsidRPr="090C4359" w:rsidR="000A3C23">
        <w:rPr>
          <w:rFonts w:asciiTheme="minorHAnsi" w:hAnsiTheme="minorHAnsi" w:cstheme="minorBidi"/>
          <w:sz w:val="22"/>
          <w:szCs w:val="22"/>
        </w:rPr>
        <w:t xml:space="preserve">, </w:t>
      </w:r>
      <w:r w:rsidRPr="090C4359" w:rsidR="00194DA0">
        <w:rPr>
          <w:rFonts w:asciiTheme="minorHAnsi" w:hAnsiTheme="minorHAnsi" w:cstheme="minorBidi"/>
          <w:sz w:val="22"/>
          <w:szCs w:val="22"/>
        </w:rPr>
        <w:t>as Wilkinson</w:t>
      </w:r>
      <w:r w:rsidRPr="090C4359" w:rsidR="00026079">
        <w:rPr>
          <w:rFonts w:asciiTheme="minorHAnsi" w:hAnsiTheme="minorHAnsi" w:cstheme="minorBidi"/>
          <w:sz w:val="22"/>
          <w:szCs w:val="22"/>
        </w:rPr>
        <w:t xml:space="preserve"> notes ‘optimal </w:t>
      </w:r>
      <w:r w:rsidRPr="090C4359" w:rsidR="00194DA0">
        <w:rPr>
          <w:rFonts w:asciiTheme="minorHAnsi" w:hAnsiTheme="minorHAnsi" w:cstheme="minorBidi"/>
          <w:sz w:val="22"/>
          <w:szCs w:val="22"/>
        </w:rPr>
        <w:t>choices for children may require very substantial sacrifice of the parents’ own wellbeing</w:t>
      </w:r>
      <w:r w:rsidRPr="090C4359" w:rsidR="00CF1117">
        <w:rPr>
          <w:rFonts w:asciiTheme="minorHAnsi" w:hAnsiTheme="minorHAnsi" w:cstheme="minorBidi"/>
          <w:sz w:val="22"/>
          <w:szCs w:val="22"/>
        </w:rPr>
        <w:t>.</w:t>
      </w:r>
      <w:r w:rsidRPr="090C4359" w:rsidR="00194DA0">
        <w:rPr>
          <w:rFonts w:asciiTheme="minorHAnsi" w:hAnsiTheme="minorHAnsi" w:cstheme="minorBidi"/>
          <w:sz w:val="22"/>
          <w:szCs w:val="22"/>
        </w:rPr>
        <w:t xml:space="preserve"> </w:t>
      </w:r>
      <w:r w:rsidRPr="090C4359" w:rsidR="00026079">
        <w:rPr>
          <w:rStyle w:val="FootnoteReference"/>
          <w:rFonts w:asciiTheme="minorHAnsi" w:hAnsiTheme="minorHAnsi" w:cstheme="minorBidi"/>
          <w:sz w:val="22"/>
          <w:szCs w:val="22"/>
        </w:rPr>
        <w:footnoteReference w:id="123"/>
      </w:r>
      <w:r w:rsidRPr="090C4359" w:rsidR="00CF1117">
        <w:rPr>
          <w:rFonts w:asciiTheme="minorHAnsi" w:hAnsiTheme="minorHAnsi" w:cstheme="minorBidi"/>
          <w:sz w:val="22"/>
          <w:szCs w:val="22"/>
        </w:rPr>
        <w:t xml:space="preserve"> This </w:t>
      </w:r>
      <w:r w:rsidRPr="090C4359" w:rsidR="000A3C23">
        <w:rPr>
          <w:rFonts w:asciiTheme="minorHAnsi" w:hAnsiTheme="minorHAnsi" w:cstheme="minorBidi"/>
          <w:sz w:val="22"/>
          <w:szCs w:val="22"/>
        </w:rPr>
        <w:t>was identified</w:t>
      </w:r>
      <w:r w:rsidRPr="090C4359" w:rsidR="009C10D8">
        <w:rPr>
          <w:rFonts w:asciiTheme="minorHAnsi" w:hAnsiTheme="minorHAnsi" w:cstheme="minorBidi"/>
          <w:sz w:val="22"/>
          <w:szCs w:val="22"/>
        </w:rPr>
        <w:t xml:space="preserve"> by the Guardian</w:t>
      </w:r>
      <w:r w:rsidRPr="090C4359" w:rsidR="000A3C23">
        <w:rPr>
          <w:rFonts w:asciiTheme="minorHAnsi" w:hAnsiTheme="minorHAnsi" w:cstheme="minorBidi"/>
          <w:sz w:val="22"/>
          <w:szCs w:val="22"/>
        </w:rPr>
        <w:t xml:space="preserve"> in </w:t>
      </w:r>
      <w:r w:rsidRPr="090C4359" w:rsidR="00AF2B8A">
        <w:rPr>
          <w:rFonts w:asciiTheme="minorHAnsi" w:hAnsiTheme="minorHAnsi" w:cstheme="minorBidi"/>
          <w:i/>
          <w:iCs/>
          <w:sz w:val="22"/>
          <w:szCs w:val="22"/>
        </w:rPr>
        <w:t>Battersbee</w:t>
      </w:r>
      <w:r w:rsidRPr="090C4359" w:rsidR="000A3C23">
        <w:rPr>
          <w:rFonts w:asciiTheme="minorHAnsi" w:hAnsiTheme="minorHAnsi" w:cstheme="minorBidi"/>
          <w:sz w:val="22"/>
          <w:szCs w:val="22"/>
        </w:rPr>
        <w:t xml:space="preserve">, who reported that </w:t>
      </w:r>
      <w:r w:rsidRPr="090C4359" w:rsidR="00A85EEC">
        <w:rPr>
          <w:rFonts w:asciiTheme="minorHAnsi" w:hAnsiTheme="minorHAnsi" w:cstheme="minorBidi"/>
          <w:sz w:val="22"/>
          <w:szCs w:val="22"/>
        </w:rPr>
        <w:t xml:space="preserve">Archie’s </w:t>
      </w:r>
      <w:r w:rsidRPr="090C4359" w:rsidR="00AF2B8A">
        <w:rPr>
          <w:rFonts w:asciiTheme="minorHAnsi" w:hAnsiTheme="minorHAnsi" w:cstheme="minorBidi"/>
          <w:sz w:val="22"/>
          <w:szCs w:val="22"/>
        </w:rPr>
        <w:t>‘mother had placed his needs above her own as their family life had ground to a halt’</w:t>
      </w:r>
      <w:r w:rsidRPr="090C4359" w:rsidR="00E43E39">
        <w:rPr>
          <w:rFonts w:asciiTheme="minorHAnsi" w:hAnsiTheme="minorHAnsi" w:cstheme="minorBidi"/>
          <w:sz w:val="22"/>
          <w:szCs w:val="22"/>
        </w:rPr>
        <w:t>.</w:t>
      </w:r>
      <w:r w:rsidRPr="090C4359" w:rsidR="00AF2B8A">
        <w:rPr>
          <w:rStyle w:val="FootnoteReference"/>
          <w:rFonts w:asciiTheme="minorHAnsi" w:hAnsiTheme="minorHAnsi" w:cstheme="minorBidi"/>
          <w:sz w:val="22"/>
          <w:szCs w:val="22"/>
        </w:rPr>
        <w:footnoteReference w:id="124"/>
      </w:r>
      <w:r w:rsidRPr="090C4359" w:rsidR="009575FF">
        <w:rPr>
          <w:rFonts w:asciiTheme="minorHAnsi" w:hAnsiTheme="minorHAnsi" w:cstheme="minorBidi"/>
          <w:sz w:val="22"/>
          <w:szCs w:val="22"/>
        </w:rPr>
        <w:t xml:space="preserve"> </w:t>
      </w:r>
      <w:r w:rsidRPr="090C4359" w:rsidR="00A31FB3">
        <w:rPr>
          <w:rFonts w:asciiTheme="minorHAnsi" w:hAnsiTheme="minorHAnsi" w:cstheme="minorBidi"/>
          <w:sz w:val="22"/>
          <w:szCs w:val="22"/>
        </w:rPr>
        <w:t xml:space="preserve">Another claim </w:t>
      </w:r>
      <w:r w:rsidRPr="090C4359" w:rsidR="000963C2">
        <w:rPr>
          <w:rFonts w:asciiTheme="minorHAnsi" w:hAnsiTheme="minorHAnsi" w:cstheme="minorBidi"/>
          <w:sz w:val="22"/>
          <w:szCs w:val="22"/>
        </w:rPr>
        <w:t xml:space="preserve">to support parents as </w:t>
      </w:r>
      <w:r w:rsidRPr="090C4359" w:rsidR="009A6BD8">
        <w:rPr>
          <w:rFonts w:asciiTheme="minorHAnsi" w:hAnsiTheme="minorHAnsi" w:cstheme="minorBidi"/>
          <w:sz w:val="22"/>
          <w:szCs w:val="22"/>
        </w:rPr>
        <w:t xml:space="preserve">best placed to be </w:t>
      </w:r>
      <w:r w:rsidRPr="090C4359" w:rsidR="000963C2">
        <w:rPr>
          <w:rFonts w:asciiTheme="minorHAnsi" w:hAnsiTheme="minorHAnsi" w:cstheme="minorBidi"/>
          <w:sz w:val="22"/>
          <w:szCs w:val="22"/>
        </w:rPr>
        <w:t xml:space="preserve">decision-makers is their privileged knowledge of the child due to their relationship. </w:t>
      </w:r>
      <w:r w:rsidRPr="090C4359" w:rsidR="00045863">
        <w:rPr>
          <w:rStyle w:val="FootnoteReference"/>
          <w:rFonts w:asciiTheme="minorHAnsi" w:hAnsiTheme="minorHAnsi" w:cstheme="minorBidi"/>
          <w:sz w:val="22"/>
          <w:szCs w:val="22"/>
        </w:rPr>
        <w:footnoteReference w:id="125"/>
      </w:r>
    </w:p>
    <w:p w:rsidRPr="00184722" w:rsidR="004C4699" w:rsidP="004C4699" w:rsidRDefault="004C4699" w14:paraId="46CFB40D" w14:textId="77777777">
      <w:pPr>
        <w:pStyle w:val="ListParagraph"/>
        <w:ind w:left="502"/>
        <w:jc w:val="both"/>
        <w:rPr>
          <w:rFonts w:cstheme="minorHAnsi"/>
        </w:rPr>
      </w:pPr>
    </w:p>
    <w:p w:rsidR="000010A9" w:rsidP="004C4699" w:rsidRDefault="009575FF" w14:paraId="4B36D44D" w14:textId="6EF5C6CE">
      <w:pPr>
        <w:pStyle w:val="ListParagraph"/>
        <w:numPr>
          <w:ilvl w:val="0"/>
          <w:numId w:val="2"/>
        </w:numPr>
        <w:jc w:val="both"/>
        <w:rPr>
          <w:rFonts w:cstheme="minorHAnsi"/>
          <w:sz w:val="24"/>
          <w:szCs w:val="24"/>
        </w:rPr>
      </w:pPr>
      <w:r w:rsidRPr="090C4359">
        <w:t xml:space="preserve">Much of this stems from what the literature terms the “good parent” </w:t>
      </w:r>
      <w:r w:rsidRPr="090C4359" w:rsidR="000C6858">
        <w:t>narrative, with studies</w:t>
      </w:r>
      <w:r w:rsidRPr="090C4359" w:rsidR="00693252">
        <w:t xml:space="preserve"> </w:t>
      </w:r>
      <w:r w:rsidRPr="090C4359" w:rsidR="000C6858">
        <w:t>showing</w:t>
      </w:r>
      <w:r w:rsidRPr="090C4359" w:rsidR="00693252">
        <w:t xml:space="preserve"> variation in its characterisation</w:t>
      </w:r>
      <w:r w:rsidRPr="090C4359" w:rsidR="00625B6F">
        <w:t xml:space="preserve">, but </w:t>
      </w:r>
      <w:r w:rsidRPr="090C4359" w:rsidR="002E4468">
        <w:t>includ</w:t>
      </w:r>
      <w:r w:rsidRPr="090C4359" w:rsidR="00625B6F">
        <w:t>ing</w:t>
      </w:r>
      <w:r w:rsidRPr="090C4359" w:rsidR="00537213">
        <w:t xml:space="preserve"> making decision</w:t>
      </w:r>
      <w:r w:rsidRPr="090C4359" w:rsidR="00625B6F">
        <w:t>s</w:t>
      </w:r>
      <w:r w:rsidRPr="090C4359" w:rsidR="00537213">
        <w:t xml:space="preserve"> for their child or ensur</w:t>
      </w:r>
      <w:r w:rsidRPr="090C4359" w:rsidR="006C0BB6">
        <w:t>ing</w:t>
      </w:r>
      <w:r w:rsidRPr="090C4359" w:rsidR="00537213">
        <w:t xml:space="preserve"> they feel loved. </w:t>
      </w:r>
      <w:r w:rsidRPr="090C4359" w:rsidR="001B2F51">
        <w:t xml:space="preserve">It </w:t>
      </w:r>
      <w:r w:rsidRPr="090C4359" w:rsidR="006D7643">
        <w:t xml:space="preserve">may also include advocating for the child, as was seen in </w:t>
      </w:r>
      <w:r w:rsidRPr="090C4359" w:rsidR="006D7643">
        <w:rPr>
          <w:i/>
          <w:iCs/>
        </w:rPr>
        <w:t>Verden</w:t>
      </w:r>
      <w:r w:rsidRPr="090C4359" w:rsidR="001D0B63">
        <w:t>, with William’</w:t>
      </w:r>
      <w:r w:rsidRPr="090C4359" w:rsidR="00D73E26">
        <w:t>s</w:t>
      </w:r>
      <w:r w:rsidRPr="090C4359" w:rsidR="001D0B63">
        <w:t xml:space="preserve"> mother</w:t>
      </w:r>
      <w:r w:rsidRPr="090C4359" w:rsidR="006D7643">
        <w:t xml:space="preserve"> characterised as ‘a “doer” who fights for her child’</w:t>
      </w:r>
      <w:r w:rsidRPr="090C4359" w:rsidR="00FF18EF">
        <w:t>.</w:t>
      </w:r>
      <w:r w:rsidRPr="090C4359" w:rsidR="006D7643">
        <w:rPr>
          <w:rStyle w:val="FootnoteReference"/>
        </w:rPr>
        <w:footnoteReference w:id="126"/>
      </w:r>
      <w:r w:rsidRPr="090C4359" w:rsidR="00FB00D9">
        <w:t xml:space="preserve"> This role i</w:t>
      </w:r>
      <w:r w:rsidRPr="090C4359" w:rsidR="000500C9">
        <w:t>s extra challenging when the parent is seeking to advocate for a refusal or withdrawal of treatment</w:t>
      </w:r>
      <w:r w:rsidRPr="090C4359" w:rsidR="006918B6">
        <w:t xml:space="preserve">, </w:t>
      </w:r>
      <w:r w:rsidRPr="090C4359" w:rsidR="00564ECF">
        <w:t>as it can carry with it accusations of poor parenting or neglect. Moreton</w:t>
      </w:r>
      <w:r w:rsidRPr="090C4359" w:rsidR="00C67B7C">
        <w:t>’s narrative analysis of the case of Hannah Jones, a 12</w:t>
      </w:r>
      <w:r w:rsidRPr="090C4359" w:rsidR="00EE3714">
        <w:t>-</w:t>
      </w:r>
      <w:r w:rsidRPr="090C4359" w:rsidR="00C67B7C">
        <w:t>year old who refused a life-saving heart transplant</w:t>
      </w:r>
      <w:r w:rsidRPr="090C4359" w:rsidR="000833FA">
        <w:t xml:space="preserve">, explores the position of </w:t>
      </w:r>
      <w:r w:rsidRPr="090C4359" w:rsidR="00BC70A5">
        <w:t>Hannah’s mother Kirsty as she seeks to support her daughters choice</w:t>
      </w:r>
      <w:r w:rsidRPr="090C4359" w:rsidR="00144FF4">
        <w:t xml:space="preserve"> and found the </w:t>
      </w:r>
      <w:r w:rsidRPr="007737EC" w:rsidR="005516AF">
        <w:t>scrutiny</w:t>
      </w:r>
      <w:r w:rsidRPr="007737EC" w:rsidR="00144FF4">
        <w:t xml:space="preserve"> of </w:t>
      </w:r>
      <w:r w:rsidRPr="007737EC" w:rsidR="00337FB6">
        <w:t xml:space="preserve">the quality of her care and of her motivations </w:t>
      </w:r>
      <w:r w:rsidRPr="007737EC" w:rsidR="005516AF">
        <w:t>particularly difficult</w:t>
      </w:r>
      <w:r w:rsidRPr="007737EC" w:rsidR="00891B76">
        <w:t xml:space="preserve">. </w:t>
      </w:r>
      <w:r w:rsidRPr="090C4359" w:rsidR="00BC70A5">
        <w:rPr>
          <w:rStyle w:val="FootnoteReference"/>
        </w:rPr>
        <w:footnoteReference w:id="127"/>
      </w:r>
      <w:r w:rsidRPr="090C4359" w:rsidR="000500C9">
        <w:t xml:space="preserve"> </w:t>
      </w:r>
      <w:r w:rsidRPr="090C4359" w:rsidR="006D7643">
        <w:t xml:space="preserve"> </w:t>
      </w:r>
      <w:r w:rsidRPr="090C4359" w:rsidR="0049293B">
        <w:t>Sim</w:t>
      </w:r>
      <w:r w:rsidRPr="090C4359" w:rsidR="005B1AE5">
        <w:t>i</w:t>
      </w:r>
      <w:r w:rsidRPr="090C4359" w:rsidR="0049293B">
        <w:t xml:space="preserve">larly in the case of </w:t>
      </w:r>
      <w:r w:rsidRPr="090C4359" w:rsidR="008768EE">
        <w:rPr>
          <w:i/>
          <w:iCs/>
        </w:rPr>
        <w:t>R(A Child)</w:t>
      </w:r>
      <w:r w:rsidRPr="090C4359" w:rsidR="008768EE">
        <w:t>,</w:t>
      </w:r>
      <w:r w:rsidRPr="090C4359" w:rsidR="008768EE">
        <w:rPr>
          <w:rStyle w:val="FootnoteReference"/>
        </w:rPr>
        <w:footnoteReference w:id="128"/>
      </w:r>
      <w:r w:rsidRPr="090C4359" w:rsidR="008768EE">
        <w:t xml:space="preserve"> </w:t>
      </w:r>
      <w:r w:rsidRPr="090C4359" w:rsidR="0049293B">
        <w:t>as discussed by Gollop and Pope,</w:t>
      </w:r>
      <w:r w:rsidRPr="090C4359" w:rsidR="00695505">
        <w:rPr>
          <w:rStyle w:val="FootnoteReference"/>
        </w:rPr>
        <w:footnoteReference w:id="129"/>
      </w:r>
      <w:r w:rsidRPr="090C4359" w:rsidR="00D872E6">
        <w:t xml:space="preserve"> a mother who advocated</w:t>
      </w:r>
      <w:r w:rsidRPr="090C4359" w:rsidR="00497F2F">
        <w:t xml:space="preserve"> against active resus</w:t>
      </w:r>
      <w:r w:rsidRPr="090C4359" w:rsidR="009B6343">
        <w:t>citation</w:t>
      </w:r>
      <w:r w:rsidRPr="090C4359" w:rsidR="00F14E5A">
        <w:t xml:space="preserve"> and questioned continuation of </w:t>
      </w:r>
      <w:r w:rsidRPr="090C4359" w:rsidR="00A21730">
        <w:t xml:space="preserve">artificial nutrition and hydration </w:t>
      </w:r>
      <w:r w:rsidRPr="090C4359" w:rsidR="00497F2F">
        <w:t>for</w:t>
      </w:r>
      <w:r w:rsidRPr="090C4359" w:rsidR="00D872E6">
        <w:t xml:space="preserve"> her disabled daughter</w:t>
      </w:r>
      <w:r w:rsidRPr="090C4359" w:rsidR="00A25912">
        <w:t xml:space="preserve"> </w:t>
      </w:r>
      <w:r w:rsidRPr="090C4359" w:rsidR="008E2335">
        <w:t>was subject to Social Services intervention</w:t>
      </w:r>
      <w:r w:rsidRPr="090C4359" w:rsidR="00A21730">
        <w:t xml:space="preserve">. </w:t>
      </w:r>
      <w:r w:rsidRPr="090C4359" w:rsidR="0049293B">
        <w:t>Yet, Katz at el</w:t>
      </w:r>
      <w:r w:rsidRPr="090C4359" w:rsidR="00A21730">
        <w:t xml:space="preserve"> stress the benefits of</w:t>
      </w:r>
      <w:r w:rsidRPr="090C4359" w:rsidR="00B30509">
        <w:t xml:space="preserve"> such advocacy,</w:t>
      </w:r>
      <w:r w:rsidRPr="090C4359" w:rsidR="0049293B">
        <w:t xml:space="preserve"> observ</w:t>
      </w:r>
      <w:r w:rsidRPr="090C4359" w:rsidR="00B30509">
        <w:t>ing</w:t>
      </w:r>
      <w:r w:rsidRPr="090C4359" w:rsidR="0049293B">
        <w:t xml:space="preserve"> that parents are comforted and receive strength from striving to achieve their personal deﬁnition of what it is to be a “good parent”, and bereavement outcomes are affected by the extent to which parents feel this was achieved.’</w:t>
      </w:r>
      <w:r w:rsidRPr="090C4359" w:rsidR="0049293B">
        <w:rPr>
          <w:rStyle w:val="FootnoteReference"/>
        </w:rPr>
        <w:footnoteReference w:id="130"/>
      </w:r>
    </w:p>
    <w:p w:rsidRPr="00D3324C" w:rsidR="00D3324C" w:rsidP="00D3324C" w:rsidRDefault="00D3324C" w14:paraId="64D4BCEF" w14:textId="77777777">
      <w:pPr>
        <w:pStyle w:val="ListParagraph"/>
        <w:rPr>
          <w:rFonts w:cstheme="minorHAnsi"/>
          <w:sz w:val="24"/>
          <w:szCs w:val="24"/>
        </w:rPr>
      </w:pPr>
    </w:p>
    <w:p w:rsidRPr="002852D3" w:rsidR="00AF2B8A" w:rsidP="00D3324C" w:rsidRDefault="001949A9" w14:paraId="5F798B3E" w14:textId="2A722A94">
      <w:pPr>
        <w:pStyle w:val="ListParagraph"/>
        <w:numPr>
          <w:ilvl w:val="0"/>
          <w:numId w:val="2"/>
        </w:numPr>
        <w:jc w:val="both"/>
        <w:rPr>
          <w:rFonts w:cstheme="minorHAnsi"/>
        </w:rPr>
      </w:pPr>
      <w:r w:rsidRPr="090C4359">
        <w:t xml:space="preserve">Parents juggling multiple and sometimes competing commitments can also be a source of </w:t>
      </w:r>
      <w:r w:rsidRPr="090C4359" w:rsidR="00A4450B">
        <w:t>moral distress than can feed into conflict with healthcare professionals.</w:t>
      </w:r>
      <w:r w:rsidRPr="090C4359" w:rsidR="00AF2B8A">
        <w:rPr>
          <w:rStyle w:val="FootnoteReference"/>
        </w:rPr>
        <w:footnoteReference w:id="131"/>
      </w:r>
      <w:r w:rsidRPr="090C4359" w:rsidR="00DE6A11">
        <w:t xml:space="preserve"> </w:t>
      </w:r>
      <w:r w:rsidRPr="090C4359" w:rsidR="00C3751B">
        <w:t>Mooney-Doyle and Ulrich</w:t>
      </w:r>
      <w:r w:rsidRPr="090C4359" w:rsidR="001275F1">
        <w:t xml:space="preserve"> </w:t>
      </w:r>
      <w:r w:rsidRPr="090C4359" w:rsidR="0081258F">
        <w:t xml:space="preserve">highlight </w:t>
      </w:r>
      <w:r w:rsidRPr="090C4359" w:rsidR="003E3304">
        <w:t xml:space="preserve">parental </w:t>
      </w:r>
      <w:r w:rsidRPr="090C4359" w:rsidR="0081258F">
        <w:t>distress caused by con</w:t>
      </w:r>
      <w:r w:rsidRPr="090C4359" w:rsidR="003E3304">
        <w:t>cerns about finances, employment and the wellbeing of the family, with p</w:t>
      </w:r>
      <w:r w:rsidRPr="090C4359" w:rsidR="00DE6A11">
        <w:t xml:space="preserve">arents </w:t>
      </w:r>
      <w:r w:rsidRPr="090C4359" w:rsidR="003E3304">
        <w:t>‘</w:t>
      </w:r>
      <w:r w:rsidRPr="090C4359" w:rsidR="00DE6A11">
        <w:t>trading-off</w:t>
      </w:r>
      <w:r w:rsidRPr="090C4359" w:rsidR="00D079A3">
        <w:t xml:space="preserve"> </w:t>
      </w:r>
      <w:r w:rsidRPr="090C4359" w:rsidR="00DE6A11">
        <w:t>the needs of</w:t>
      </w:r>
      <w:r w:rsidRPr="090C4359" w:rsidR="00D079A3">
        <w:t xml:space="preserve"> </w:t>
      </w:r>
      <w:r w:rsidRPr="090C4359" w:rsidR="00DE6A11">
        <w:t>one family member in order to meet the needs of</w:t>
      </w:r>
      <w:r w:rsidRPr="090C4359" w:rsidR="00D079A3">
        <w:t xml:space="preserve"> </w:t>
      </w:r>
      <w:r w:rsidRPr="090C4359" w:rsidR="00DE6A11">
        <w:t>another while caring for a seriously ill child</w:t>
      </w:r>
      <w:r w:rsidRPr="090C4359" w:rsidR="00D079A3">
        <w:t>’</w:t>
      </w:r>
      <w:r w:rsidRPr="090C4359" w:rsidR="00DE6A11">
        <w:t>.</w:t>
      </w:r>
      <w:r w:rsidRPr="090C4359" w:rsidR="009160B2">
        <w:t>’</w:t>
      </w:r>
      <w:r w:rsidRPr="090C4359" w:rsidR="009160B2">
        <w:rPr>
          <w:rStyle w:val="FootnoteReference"/>
        </w:rPr>
        <w:footnoteReference w:id="132"/>
      </w:r>
      <w:r w:rsidRPr="090C4359" w:rsidR="00651657">
        <w:t xml:space="preserve"> Brownes observes that</w:t>
      </w:r>
      <w:r w:rsidRPr="090C4359" w:rsidR="00641857">
        <w:t xml:space="preserve"> </w:t>
      </w:r>
      <w:r w:rsidRPr="090C4359" w:rsidR="00651657">
        <w:t>b</w:t>
      </w:r>
      <w:r w:rsidRPr="090C4359" w:rsidR="002D2412">
        <w:t>ecause the law requires that the child’s welfare is paramount</w:t>
      </w:r>
      <w:r w:rsidRPr="090C4359" w:rsidR="00C157E7">
        <w:t xml:space="preserve">, </w:t>
      </w:r>
      <w:r w:rsidRPr="090C4359" w:rsidR="00641857">
        <w:t>family</w:t>
      </w:r>
      <w:r w:rsidRPr="090C4359" w:rsidR="00A21526">
        <w:t xml:space="preserve"> interests</w:t>
      </w:r>
      <w:r w:rsidRPr="090C4359" w:rsidR="00641857">
        <w:t xml:space="preserve"> cannot impinge the interests of the child, and</w:t>
      </w:r>
      <w:r w:rsidRPr="090C4359" w:rsidR="00D3324C">
        <w:t xml:space="preserve"> ‘</w:t>
      </w:r>
      <w:r w:rsidRPr="090C4359" w:rsidR="00641857">
        <w:t>this can have devastating effects on the family. It may</w:t>
      </w:r>
      <w:r w:rsidRPr="090C4359" w:rsidR="00DA425D">
        <w:t xml:space="preserve"> </w:t>
      </w:r>
      <w:r w:rsidRPr="090C4359" w:rsidR="00641857">
        <w:t>mean the end of</w:t>
      </w:r>
      <w:r w:rsidRPr="090C4359" w:rsidR="00DA425D">
        <w:t xml:space="preserve"> </w:t>
      </w:r>
      <w:r w:rsidRPr="090C4359" w:rsidR="00641857">
        <w:t>a marriage, changing professional or personal goals, and depriving other children of attention or social and educational opportunities.</w:t>
      </w:r>
      <w:r w:rsidRPr="090C4359" w:rsidR="00D3324C">
        <w:t>’</w:t>
      </w:r>
      <w:r w:rsidRPr="090C4359" w:rsidR="00DA425D">
        <w:rPr>
          <w:rStyle w:val="FootnoteReference"/>
        </w:rPr>
        <w:footnoteReference w:id="133"/>
      </w:r>
    </w:p>
    <w:p w:rsidRPr="002852D3" w:rsidR="00435839" w:rsidP="00435839" w:rsidRDefault="00435839" w14:paraId="1F85C9D8" w14:textId="77777777">
      <w:pPr>
        <w:pStyle w:val="ListParagraph"/>
        <w:rPr>
          <w:rFonts w:cstheme="minorHAnsi"/>
        </w:rPr>
      </w:pPr>
    </w:p>
    <w:p w:rsidRPr="00D85C18" w:rsidR="00F2293A" w:rsidP="00A41BAD" w:rsidRDefault="009937DB" w14:paraId="7A540E17" w14:textId="25AC391F">
      <w:pPr>
        <w:pStyle w:val="ListParagraph"/>
        <w:numPr>
          <w:ilvl w:val="0"/>
          <w:numId w:val="2"/>
        </w:numPr>
        <w:jc w:val="both"/>
        <w:rPr>
          <w:rFonts w:cstheme="minorHAnsi"/>
        </w:rPr>
      </w:pPr>
      <w:r w:rsidRPr="090C4359">
        <w:t>Finally,</w:t>
      </w:r>
      <w:r w:rsidRPr="090C4359" w:rsidR="002A4C9F">
        <w:t xml:space="preserve"> doctors</w:t>
      </w:r>
      <w:r w:rsidRPr="090C4359" w:rsidR="00AF54FF">
        <w:t>’</w:t>
      </w:r>
      <w:r w:rsidRPr="090C4359" w:rsidR="002A4C9F">
        <w:t xml:space="preserve"> sense of their duty to involve parents in decision-making</w:t>
      </w:r>
      <w:r w:rsidRPr="090C4359" w:rsidR="00DC70E6">
        <w:rPr>
          <w:rStyle w:val="FootnoteReference"/>
        </w:rPr>
        <w:footnoteReference w:id="134"/>
      </w:r>
      <w:r w:rsidRPr="090C4359" w:rsidR="002A4C9F">
        <w:t xml:space="preserve"> </w:t>
      </w:r>
      <w:r w:rsidRPr="090C4359" w:rsidR="009F7153">
        <w:t xml:space="preserve">may </w:t>
      </w:r>
      <w:r w:rsidRPr="090C4359" w:rsidR="008C3355">
        <w:t xml:space="preserve">feel in conflict with their perceived responsibilities to the </w:t>
      </w:r>
      <w:r w:rsidRPr="090C4359" w:rsidR="003A7898">
        <w:t>child, especially if there is a value</w:t>
      </w:r>
      <w:r w:rsidRPr="090C4359" w:rsidR="00D21DBF">
        <w:t>-based disagreement with the parents.</w:t>
      </w:r>
      <w:r w:rsidRPr="090C4359" w:rsidR="00EB53DC">
        <w:t xml:space="preserve"> Bridgeman explains that </w:t>
      </w:r>
      <w:r w:rsidRPr="090C4359" w:rsidR="008C2E17">
        <w:t>there is a legal duty on the State (usually in the form of NHS Trusts)</w:t>
      </w:r>
      <w:r w:rsidRPr="090C4359" w:rsidR="00EB53DC">
        <w:t xml:space="preserve"> </w:t>
      </w:r>
      <w:r w:rsidRPr="090C4359" w:rsidR="008C2E17">
        <w:t>to intervene to uphold the best interest</w:t>
      </w:r>
      <w:r w:rsidRPr="090C4359" w:rsidR="00205488">
        <w:t>s</w:t>
      </w:r>
      <w:r w:rsidRPr="090C4359" w:rsidR="008C2E17">
        <w:t xml:space="preserve"> of the child.</w:t>
      </w:r>
      <w:r w:rsidRPr="090C4359" w:rsidR="00AE3FA0">
        <w:rPr>
          <w:rStyle w:val="FootnoteReference"/>
        </w:rPr>
        <w:footnoteReference w:id="135"/>
      </w:r>
      <w:r w:rsidRPr="090C4359" w:rsidR="00D21DBF">
        <w:t xml:space="preserve"> </w:t>
      </w:r>
      <w:r w:rsidRPr="090C4359" w:rsidR="009F7153">
        <w:t>Sometime</w:t>
      </w:r>
      <w:r w:rsidRPr="090C4359" w:rsidR="00DC7803">
        <w:t>s</w:t>
      </w:r>
      <w:r w:rsidRPr="090C4359" w:rsidR="009F7153">
        <w:t xml:space="preserve"> </w:t>
      </w:r>
      <w:r w:rsidRPr="090C4359" w:rsidR="00DC7803">
        <w:t>‘medic</w:t>
      </w:r>
      <w:r w:rsidRPr="090C4359" w:rsidR="000152FD">
        <w:t>al</w:t>
      </w:r>
      <w:r w:rsidRPr="090C4359" w:rsidR="00DC7803">
        <w:t xml:space="preserve">-legal </w:t>
      </w:r>
      <w:r w:rsidRPr="090C4359" w:rsidR="009F7153">
        <w:t>paternalis</w:t>
      </w:r>
      <w:r w:rsidRPr="090C4359" w:rsidR="00DC7803">
        <w:t>m’</w:t>
      </w:r>
      <w:r w:rsidRPr="090C4359" w:rsidR="000152FD">
        <w:t xml:space="preserve"> that Pruski argues is present in court best interests decisions, </w:t>
      </w:r>
      <w:r w:rsidRPr="090C4359" w:rsidR="000152FD">
        <w:rPr>
          <w:rStyle w:val="FootnoteReference"/>
        </w:rPr>
        <w:footnoteReference w:id="136"/>
      </w:r>
      <w:r w:rsidRPr="090C4359" w:rsidR="000152FD">
        <w:t xml:space="preserve"> can be apparent in the clinic</w:t>
      </w:r>
      <w:r w:rsidRPr="090C4359" w:rsidR="00C531D0">
        <w:t xml:space="preserve"> as </w:t>
      </w:r>
      <w:r w:rsidRPr="090C4359" w:rsidR="0026406A">
        <w:t>doctors</w:t>
      </w:r>
      <w:r w:rsidRPr="090C4359" w:rsidR="009F7153">
        <w:t xml:space="preserve"> </w:t>
      </w:r>
      <w:r w:rsidRPr="090C4359" w:rsidR="00E87EFD">
        <w:t xml:space="preserve">decide to limit parental involvement and decision-making as a way to “lift the burden’ on the </w:t>
      </w:r>
      <w:r w:rsidRPr="090C4359" w:rsidR="00435839">
        <w:t>parents, in a bid to reduce their guilt or regret.</w:t>
      </w:r>
      <w:r w:rsidRPr="090C4359" w:rsidR="00AE3FA0">
        <w:rPr>
          <w:rStyle w:val="FootnoteReference"/>
        </w:rPr>
        <w:footnoteReference w:id="137"/>
      </w:r>
    </w:p>
    <w:p w:rsidRPr="003C151D" w:rsidR="00995A0B" w:rsidP="003C151D" w:rsidRDefault="00995A0B" w14:paraId="4AC5043E" w14:textId="77777777">
      <w:pPr>
        <w:jc w:val="both"/>
        <w:rPr>
          <w:rFonts w:cstheme="minorHAnsi"/>
        </w:rPr>
      </w:pPr>
    </w:p>
    <w:p w:rsidRPr="004D1679" w:rsidR="00F2293A" w:rsidP="00F2293A" w:rsidRDefault="00A41BAD" w14:paraId="3C15F689" w14:textId="79DE802E">
      <w:pPr>
        <w:jc w:val="both"/>
        <w:rPr>
          <w:i/>
          <w:iCs/>
          <w:color w:val="002060"/>
          <w:sz w:val="24"/>
          <w:szCs w:val="24"/>
        </w:rPr>
      </w:pPr>
      <w:r>
        <w:rPr>
          <w:i/>
          <w:iCs/>
          <w:color w:val="002060"/>
          <w:sz w:val="24"/>
          <w:szCs w:val="24"/>
        </w:rPr>
        <w:t>v</w:t>
      </w:r>
      <w:r w:rsidRPr="004D1679" w:rsidR="00F2293A">
        <w:rPr>
          <w:i/>
          <w:iCs/>
          <w:color w:val="002060"/>
          <w:sz w:val="24"/>
          <w:szCs w:val="24"/>
        </w:rPr>
        <w:t xml:space="preserve">) </w:t>
      </w:r>
      <w:r w:rsidR="00F2293A">
        <w:rPr>
          <w:i/>
          <w:iCs/>
          <w:color w:val="002060"/>
          <w:sz w:val="24"/>
          <w:szCs w:val="24"/>
        </w:rPr>
        <w:t xml:space="preserve">Interactions between </w:t>
      </w:r>
      <w:r w:rsidR="00404294">
        <w:rPr>
          <w:i/>
          <w:iCs/>
          <w:color w:val="002060"/>
          <w:sz w:val="24"/>
          <w:szCs w:val="24"/>
        </w:rPr>
        <w:t>p</w:t>
      </w:r>
      <w:r w:rsidR="00F2293A">
        <w:rPr>
          <w:i/>
          <w:iCs/>
          <w:color w:val="002060"/>
          <w:sz w:val="24"/>
          <w:szCs w:val="24"/>
        </w:rPr>
        <w:t xml:space="preserve">rofessionals and </w:t>
      </w:r>
      <w:r w:rsidR="00404294">
        <w:rPr>
          <w:i/>
          <w:iCs/>
          <w:color w:val="002060"/>
          <w:sz w:val="24"/>
          <w:szCs w:val="24"/>
        </w:rPr>
        <w:t>f</w:t>
      </w:r>
      <w:r w:rsidR="00F2293A">
        <w:rPr>
          <w:i/>
          <w:iCs/>
          <w:color w:val="002060"/>
          <w:sz w:val="24"/>
          <w:szCs w:val="24"/>
        </w:rPr>
        <w:t>amilies</w:t>
      </w:r>
    </w:p>
    <w:p w:rsidRPr="008A19EA" w:rsidR="00191210" w:rsidP="00187EF1" w:rsidRDefault="00F2293A" w14:paraId="1D06D307" w14:textId="77777777">
      <w:pPr>
        <w:pStyle w:val="Normal0"/>
        <w:numPr>
          <w:ilvl w:val="0"/>
          <w:numId w:val="2"/>
        </w:numPr>
        <w:jc w:val="both"/>
        <w:rPr>
          <w:rFonts w:asciiTheme="minorHAnsi" w:hAnsiTheme="minorHAnsi" w:cstheme="minorHAnsi"/>
        </w:rPr>
      </w:pPr>
      <w:r w:rsidRPr="090C4359">
        <w:rPr>
          <w:rFonts w:asciiTheme="minorHAnsi" w:hAnsiTheme="minorHAnsi" w:cstheme="minorBidi"/>
          <w:sz w:val="22"/>
          <w:szCs w:val="22"/>
        </w:rPr>
        <w:t>There has been scant mention in the literature o</w:t>
      </w:r>
      <w:r w:rsidRPr="090C4359" w:rsidR="00A601D0">
        <w:rPr>
          <w:rFonts w:asciiTheme="minorHAnsi" w:hAnsiTheme="minorHAnsi" w:cstheme="minorBidi"/>
          <w:sz w:val="22"/>
          <w:szCs w:val="22"/>
        </w:rPr>
        <w:t xml:space="preserve">f how the nature and quality of </w:t>
      </w:r>
      <w:r w:rsidRPr="090C4359" w:rsidR="00D521A8">
        <w:rPr>
          <w:rFonts w:asciiTheme="minorHAnsi" w:hAnsiTheme="minorHAnsi" w:cstheme="minorBidi"/>
          <w:sz w:val="22"/>
          <w:szCs w:val="22"/>
        </w:rPr>
        <w:t xml:space="preserve">interactions between </w:t>
      </w:r>
      <w:r w:rsidRPr="090C4359" w:rsidR="004C3CE1">
        <w:rPr>
          <w:rFonts w:asciiTheme="minorHAnsi" w:hAnsiTheme="minorHAnsi" w:cstheme="minorBidi"/>
          <w:sz w:val="22"/>
          <w:szCs w:val="22"/>
        </w:rPr>
        <w:t>professionals and families may</w:t>
      </w:r>
      <w:r w:rsidRPr="090C4359" w:rsidR="00A601D0">
        <w:rPr>
          <w:rFonts w:asciiTheme="minorHAnsi" w:hAnsiTheme="minorHAnsi" w:cstheme="minorBidi"/>
          <w:sz w:val="22"/>
          <w:szCs w:val="22"/>
        </w:rPr>
        <w:t xml:space="preserve"> cause or e</w:t>
      </w:r>
      <w:r w:rsidRPr="090C4359" w:rsidR="00EA3A5D">
        <w:rPr>
          <w:rFonts w:asciiTheme="minorHAnsi" w:hAnsiTheme="minorHAnsi" w:cstheme="minorBidi"/>
          <w:sz w:val="22"/>
          <w:szCs w:val="22"/>
        </w:rPr>
        <w:t xml:space="preserve">xacerbate </w:t>
      </w:r>
      <w:r w:rsidRPr="090C4359">
        <w:rPr>
          <w:rFonts w:asciiTheme="minorHAnsi" w:hAnsiTheme="minorHAnsi" w:cstheme="minorBidi"/>
          <w:sz w:val="22"/>
          <w:szCs w:val="22"/>
        </w:rPr>
        <w:t>disagreement. Archambault-Grenier et al list parental ‘behaviour or temperament’ as a moderately frequent cause of disagreement, with nurses flagging this up more often than doctors.</w:t>
      </w:r>
      <w:r w:rsidRPr="090C4359">
        <w:rPr>
          <w:rStyle w:val="FootnoteReference"/>
          <w:rFonts w:asciiTheme="minorHAnsi" w:hAnsiTheme="minorHAnsi" w:cstheme="minorBidi"/>
          <w:sz w:val="22"/>
          <w:szCs w:val="22"/>
        </w:rPr>
        <w:footnoteReference w:id="138"/>
      </w:r>
      <w:r w:rsidRPr="090C4359">
        <w:rPr>
          <w:rFonts w:asciiTheme="minorHAnsi" w:hAnsiTheme="minorHAnsi" w:cstheme="minorBidi"/>
          <w:sz w:val="22"/>
          <w:szCs w:val="22"/>
        </w:rPr>
        <w:t xml:space="preserve"> However, they give no further detail as to its nature. Basu and Preisz have recently considered Australian healthcare professionals’ experiences of conflict and aggression in the PICU and identify a range of ‘challenging’ parental behaviours, from overly emotive communication, to physical and verbal abuse and threats.</w:t>
      </w:r>
      <w:r w:rsidRPr="090C4359">
        <w:rPr>
          <w:rStyle w:val="FootnoteReference"/>
          <w:rFonts w:asciiTheme="minorHAnsi" w:hAnsiTheme="minorHAnsi" w:cstheme="minorBidi"/>
          <w:sz w:val="22"/>
          <w:szCs w:val="22"/>
        </w:rPr>
        <w:footnoteReference w:id="139"/>
      </w:r>
      <w:r w:rsidRPr="090C4359">
        <w:rPr>
          <w:rFonts w:asciiTheme="minorHAnsi" w:hAnsiTheme="minorHAnsi" w:cstheme="minorBidi"/>
          <w:sz w:val="22"/>
          <w:szCs w:val="22"/>
        </w:rPr>
        <w:t xml:space="preserve"> They note that the most damaging behaviour for healthcare professionals are passive-aggressive behaviours, which include ‘parent/carer hypervigilance, microaggression, repeated impedance of standard care (…) target and criticise certain staff at the bedside, make derogatory comments about care to other families, or overtly favour some staff over others’,  often tolerated in a bid to foster family centred care.</w:t>
      </w:r>
      <w:r w:rsidRPr="090C4359">
        <w:rPr>
          <w:rStyle w:val="FootnoteReference"/>
          <w:rFonts w:asciiTheme="minorHAnsi" w:hAnsiTheme="minorHAnsi" w:cstheme="minorBidi"/>
          <w:sz w:val="22"/>
          <w:szCs w:val="22"/>
        </w:rPr>
        <w:footnoteReference w:id="140"/>
      </w:r>
      <w:r w:rsidRPr="090C4359">
        <w:rPr>
          <w:rFonts w:asciiTheme="minorHAnsi" w:hAnsiTheme="minorHAnsi" w:cstheme="minorBidi"/>
          <w:sz w:val="22"/>
          <w:szCs w:val="22"/>
        </w:rPr>
        <w:t xml:space="preserve"> </w:t>
      </w:r>
    </w:p>
    <w:p w:rsidRPr="00191210" w:rsidR="008A19EA" w:rsidP="008A19EA" w:rsidRDefault="008A19EA" w14:paraId="44197C30" w14:textId="77777777">
      <w:pPr>
        <w:pStyle w:val="Normal0"/>
        <w:ind w:left="502"/>
        <w:rPr>
          <w:rFonts w:asciiTheme="minorHAnsi" w:hAnsiTheme="minorHAnsi" w:cstheme="minorHAnsi"/>
        </w:rPr>
      </w:pPr>
    </w:p>
    <w:p w:rsidRPr="00D85C18" w:rsidR="00F2293A" w:rsidP="00187EF1" w:rsidRDefault="00E82EAD" w14:paraId="55AA1E2A" w14:textId="67563B2F">
      <w:pPr>
        <w:pStyle w:val="Normal0"/>
        <w:numPr>
          <w:ilvl w:val="0"/>
          <w:numId w:val="2"/>
        </w:numPr>
        <w:jc w:val="both"/>
        <w:rPr>
          <w:rFonts w:asciiTheme="minorHAnsi" w:hAnsiTheme="minorHAnsi" w:cstheme="minorHAnsi"/>
        </w:rPr>
      </w:pPr>
      <w:r w:rsidRPr="090C4359">
        <w:rPr>
          <w:rFonts w:asciiTheme="minorHAnsi" w:hAnsiTheme="minorHAnsi" w:cstheme="minorBidi"/>
          <w:sz w:val="22"/>
          <w:szCs w:val="22"/>
        </w:rPr>
        <w:t>The behaviour of healthcare professionals has also</w:t>
      </w:r>
      <w:r w:rsidRPr="090C4359" w:rsidR="00FC3E0A">
        <w:rPr>
          <w:rFonts w:asciiTheme="minorHAnsi" w:hAnsiTheme="minorHAnsi" w:cstheme="minorBidi"/>
          <w:sz w:val="22"/>
          <w:szCs w:val="22"/>
        </w:rPr>
        <w:t xml:space="preserve"> been identified as a factor contributing to conflict, albeit with less frequency than parental behaviour.</w:t>
      </w:r>
      <w:r w:rsidRPr="090C4359" w:rsidR="003E2267">
        <w:rPr>
          <w:rFonts w:asciiTheme="minorHAnsi" w:hAnsiTheme="minorHAnsi" w:cstheme="minorBidi"/>
          <w:sz w:val="22"/>
          <w:szCs w:val="22"/>
        </w:rPr>
        <w:t xml:space="preserve"> In their study</w:t>
      </w:r>
      <w:r w:rsidRPr="090C4359" w:rsidR="00FC3E0A">
        <w:rPr>
          <w:rFonts w:asciiTheme="minorHAnsi" w:hAnsiTheme="minorHAnsi" w:cstheme="minorBidi"/>
          <w:sz w:val="22"/>
          <w:szCs w:val="22"/>
        </w:rPr>
        <w:t xml:space="preserve"> </w:t>
      </w:r>
      <w:r w:rsidRPr="090C4359" w:rsidR="003E2267">
        <w:rPr>
          <w:rFonts w:asciiTheme="minorHAnsi" w:hAnsiTheme="minorHAnsi" w:cstheme="minorBidi"/>
          <w:sz w:val="22"/>
          <w:szCs w:val="22"/>
        </w:rPr>
        <w:t xml:space="preserve">Archambault-Grenier et al found that </w:t>
      </w:r>
      <w:r w:rsidRPr="090C4359" w:rsidR="00771711">
        <w:rPr>
          <w:rFonts w:asciiTheme="minorHAnsi" w:hAnsiTheme="minorHAnsi" w:cstheme="minorBidi"/>
          <w:sz w:val="22"/>
          <w:szCs w:val="22"/>
        </w:rPr>
        <w:t xml:space="preserve">‘healthcare professional </w:t>
      </w:r>
      <w:r w:rsidRPr="090C4359" w:rsidR="001241C5">
        <w:rPr>
          <w:rFonts w:asciiTheme="minorHAnsi" w:hAnsiTheme="minorHAnsi" w:cstheme="minorBidi"/>
          <w:sz w:val="22"/>
          <w:szCs w:val="22"/>
        </w:rPr>
        <w:t xml:space="preserve">behaviour of temperament’ was identified as a factor </w:t>
      </w:r>
      <w:r w:rsidRPr="090C4359" w:rsidR="00764B54">
        <w:rPr>
          <w:rFonts w:asciiTheme="minorHAnsi" w:hAnsiTheme="minorHAnsi" w:cstheme="minorBidi"/>
          <w:sz w:val="22"/>
          <w:szCs w:val="22"/>
        </w:rPr>
        <w:t>by 14</w:t>
      </w:r>
      <w:r w:rsidRPr="090C4359" w:rsidR="00B6355C">
        <w:rPr>
          <w:rFonts w:asciiTheme="minorHAnsi" w:hAnsiTheme="minorHAnsi" w:cstheme="minorBidi"/>
          <w:sz w:val="22"/>
          <w:szCs w:val="22"/>
        </w:rPr>
        <w:t xml:space="preserve">% of 281 respondents, </w:t>
      </w:r>
      <w:r w:rsidRPr="090C4359" w:rsidR="002C508F">
        <w:rPr>
          <w:rFonts w:asciiTheme="minorHAnsi" w:hAnsiTheme="minorHAnsi" w:cstheme="minorBidi"/>
          <w:sz w:val="22"/>
          <w:szCs w:val="22"/>
        </w:rPr>
        <w:t xml:space="preserve">‘staff avoidance’ by 17% of </w:t>
      </w:r>
      <w:r w:rsidRPr="090C4359" w:rsidR="00821EBC">
        <w:rPr>
          <w:rFonts w:asciiTheme="minorHAnsi" w:hAnsiTheme="minorHAnsi" w:cstheme="minorBidi"/>
          <w:sz w:val="22"/>
          <w:szCs w:val="22"/>
        </w:rPr>
        <w:t>279 respondents and</w:t>
      </w:r>
      <w:r w:rsidRPr="090C4359" w:rsidR="00037A4B">
        <w:rPr>
          <w:rFonts w:asciiTheme="minorHAnsi" w:hAnsiTheme="minorHAnsi" w:cstheme="minorBidi"/>
          <w:sz w:val="22"/>
          <w:szCs w:val="22"/>
        </w:rPr>
        <w:t xml:space="preserve"> ‘potential preju</w:t>
      </w:r>
      <w:r w:rsidRPr="090C4359" w:rsidR="00E1680A">
        <w:rPr>
          <w:rFonts w:asciiTheme="minorHAnsi" w:hAnsiTheme="minorHAnsi" w:cstheme="minorBidi"/>
          <w:sz w:val="22"/>
          <w:szCs w:val="22"/>
        </w:rPr>
        <w:t xml:space="preserve">dice toward the patient’ by 15% of </w:t>
      </w:r>
      <w:r w:rsidRPr="090C4359" w:rsidR="003D1A37">
        <w:rPr>
          <w:rFonts w:asciiTheme="minorHAnsi" w:hAnsiTheme="minorHAnsi" w:cstheme="minorBidi"/>
          <w:sz w:val="22"/>
          <w:szCs w:val="22"/>
        </w:rPr>
        <w:t>247 respondents.</w:t>
      </w:r>
      <w:r w:rsidRPr="090C4359" w:rsidR="003D1A37">
        <w:rPr>
          <w:rStyle w:val="FootnoteReference"/>
          <w:rFonts w:asciiTheme="minorHAnsi" w:hAnsiTheme="minorHAnsi" w:cstheme="minorBidi"/>
          <w:sz w:val="22"/>
          <w:szCs w:val="22"/>
        </w:rPr>
        <w:footnoteReference w:id="141"/>
      </w:r>
      <w:r w:rsidRPr="090C4359" w:rsidR="00821EBC">
        <w:rPr>
          <w:rFonts w:asciiTheme="minorHAnsi" w:hAnsiTheme="minorHAnsi" w:cstheme="minorBidi"/>
          <w:sz w:val="22"/>
          <w:szCs w:val="22"/>
        </w:rPr>
        <w:t xml:space="preserve"> </w:t>
      </w:r>
      <w:r w:rsidRPr="090C4359" w:rsidR="001241C5">
        <w:rPr>
          <w:rFonts w:asciiTheme="minorHAnsi" w:hAnsiTheme="minorHAnsi" w:cstheme="minorBidi"/>
          <w:sz w:val="22"/>
          <w:szCs w:val="22"/>
        </w:rPr>
        <w:t xml:space="preserve"> </w:t>
      </w:r>
      <w:r w:rsidRPr="090C4359">
        <w:rPr>
          <w:rFonts w:asciiTheme="minorHAnsi" w:hAnsiTheme="minorHAnsi" w:cstheme="minorBidi"/>
          <w:sz w:val="22"/>
          <w:szCs w:val="22"/>
        </w:rPr>
        <w:t>Basu and Preisz</w:t>
      </w:r>
      <w:r w:rsidRPr="090C4359" w:rsidR="00F2293A">
        <w:rPr>
          <w:rFonts w:asciiTheme="minorHAnsi" w:hAnsiTheme="minorHAnsi" w:cstheme="minorBidi"/>
          <w:sz w:val="22"/>
          <w:szCs w:val="22"/>
        </w:rPr>
        <w:t xml:space="preserve"> conclude that ‘[f]or all parties, constantly experiencing challenging communication and behavioural styles can perfuse the unit with malaise, and pervasive interpersonal tension can tacitly lead to avoidance between parents and healthcare professionals’,</w:t>
      </w:r>
      <w:r w:rsidRPr="090C4359" w:rsidR="00F2293A">
        <w:rPr>
          <w:rStyle w:val="FootnoteReference"/>
          <w:rFonts w:asciiTheme="minorHAnsi" w:hAnsiTheme="minorHAnsi" w:cstheme="minorBidi"/>
          <w:sz w:val="22"/>
          <w:szCs w:val="22"/>
        </w:rPr>
        <w:footnoteReference w:id="142"/>
      </w:r>
      <w:r w:rsidRPr="090C4359" w:rsidR="00F2293A">
        <w:rPr>
          <w:rFonts w:asciiTheme="minorHAnsi" w:hAnsiTheme="minorHAnsi" w:cstheme="minorBidi"/>
          <w:sz w:val="22"/>
          <w:szCs w:val="22"/>
        </w:rPr>
        <w:t xml:space="preserve"> thus fuelling disagreement. </w:t>
      </w:r>
    </w:p>
    <w:p w:rsidR="008768EE" w:rsidP="002C0D15" w:rsidRDefault="008768EE" w14:paraId="7EF04708" w14:textId="77777777">
      <w:pPr>
        <w:jc w:val="both"/>
        <w:rPr>
          <w:i/>
          <w:iCs/>
          <w:color w:val="002060"/>
          <w:sz w:val="24"/>
          <w:szCs w:val="24"/>
        </w:rPr>
      </w:pPr>
    </w:p>
    <w:p w:rsidRPr="00435988" w:rsidR="00745567" w:rsidP="002C0D15" w:rsidRDefault="00E1266C" w14:paraId="4DBCFAE4" w14:textId="60E00656">
      <w:pPr>
        <w:jc w:val="both"/>
        <w:rPr>
          <w:color w:val="002060"/>
          <w:u w:val="single"/>
        </w:rPr>
      </w:pPr>
      <w:r w:rsidRPr="00435988">
        <w:rPr>
          <w:color w:val="002060"/>
          <w:u w:val="single"/>
        </w:rPr>
        <w:t xml:space="preserve">EXTERNAL </w:t>
      </w:r>
      <w:r w:rsidRPr="00435988" w:rsidR="00417542">
        <w:rPr>
          <w:color w:val="002060"/>
          <w:u w:val="single"/>
        </w:rPr>
        <w:t>CAUSES</w:t>
      </w:r>
    </w:p>
    <w:p w:rsidRPr="00D85C18" w:rsidR="0040467D" w:rsidP="0028051D" w:rsidRDefault="009B5189" w14:paraId="50CE28BC" w14:textId="183C2E74">
      <w:pPr>
        <w:jc w:val="both"/>
        <w:rPr>
          <w:i/>
          <w:iCs/>
          <w:sz w:val="24"/>
          <w:szCs w:val="24"/>
        </w:rPr>
      </w:pPr>
      <w:r>
        <w:rPr>
          <w:i/>
          <w:iCs/>
          <w:color w:val="002060"/>
          <w:sz w:val="24"/>
          <w:szCs w:val="24"/>
        </w:rPr>
        <w:t>vi</w:t>
      </w:r>
      <w:r w:rsidR="005D49A8">
        <w:rPr>
          <w:i/>
          <w:iCs/>
          <w:color w:val="002060"/>
          <w:sz w:val="24"/>
          <w:szCs w:val="24"/>
        </w:rPr>
        <w:t xml:space="preserve">) </w:t>
      </w:r>
      <w:r w:rsidRPr="00944D3C" w:rsidR="00E74792">
        <w:rPr>
          <w:i/>
          <w:iCs/>
          <w:color w:val="FF0000"/>
          <w:sz w:val="24"/>
          <w:szCs w:val="24"/>
        </w:rPr>
        <w:t xml:space="preserve"> </w:t>
      </w:r>
      <w:r w:rsidR="00F07C31">
        <w:rPr>
          <w:i/>
          <w:color w:val="002060"/>
          <w:sz w:val="24"/>
          <w:szCs w:val="24"/>
        </w:rPr>
        <w:t>A</w:t>
      </w:r>
      <w:r w:rsidR="0028051D">
        <w:rPr>
          <w:i/>
          <w:color w:val="002060"/>
          <w:sz w:val="24"/>
          <w:szCs w:val="24"/>
        </w:rPr>
        <w:t xml:space="preserve">lternative </w:t>
      </w:r>
      <w:r w:rsidR="00117769">
        <w:rPr>
          <w:i/>
          <w:color w:val="002060"/>
          <w:sz w:val="24"/>
          <w:szCs w:val="24"/>
        </w:rPr>
        <w:t>s</w:t>
      </w:r>
      <w:r w:rsidR="0028051D">
        <w:rPr>
          <w:i/>
          <w:color w:val="002060"/>
          <w:sz w:val="24"/>
          <w:szCs w:val="24"/>
        </w:rPr>
        <w:t xml:space="preserve">ources of </w:t>
      </w:r>
      <w:r w:rsidR="00117769">
        <w:rPr>
          <w:i/>
          <w:color w:val="002060"/>
          <w:sz w:val="24"/>
          <w:szCs w:val="24"/>
        </w:rPr>
        <w:t>i</w:t>
      </w:r>
      <w:r w:rsidR="0028051D">
        <w:rPr>
          <w:i/>
          <w:color w:val="002060"/>
          <w:sz w:val="24"/>
          <w:szCs w:val="24"/>
        </w:rPr>
        <w:t>nformation</w:t>
      </w:r>
      <w:r w:rsidR="001A6D89">
        <w:rPr>
          <w:i/>
          <w:color w:val="002060"/>
          <w:sz w:val="24"/>
          <w:szCs w:val="24"/>
        </w:rPr>
        <w:t xml:space="preserve">, </w:t>
      </w:r>
      <w:r w:rsidR="00117769">
        <w:rPr>
          <w:i/>
          <w:color w:val="002060"/>
          <w:sz w:val="24"/>
          <w:szCs w:val="24"/>
        </w:rPr>
        <w:t>d</w:t>
      </w:r>
      <w:r w:rsidR="00944D3C">
        <w:rPr>
          <w:i/>
          <w:color w:val="002060"/>
          <w:sz w:val="24"/>
          <w:szCs w:val="24"/>
        </w:rPr>
        <w:t xml:space="preserve">istrust of </w:t>
      </w:r>
      <w:r w:rsidR="00117769">
        <w:rPr>
          <w:i/>
          <w:color w:val="002060"/>
          <w:sz w:val="24"/>
          <w:szCs w:val="24"/>
        </w:rPr>
        <w:t>d</w:t>
      </w:r>
      <w:r w:rsidR="00944D3C">
        <w:rPr>
          <w:i/>
          <w:color w:val="002060"/>
          <w:sz w:val="24"/>
          <w:szCs w:val="24"/>
        </w:rPr>
        <w:t>octors</w:t>
      </w:r>
      <w:r w:rsidR="009250F9">
        <w:rPr>
          <w:i/>
          <w:color w:val="002060"/>
          <w:sz w:val="24"/>
          <w:szCs w:val="24"/>
        </w:rPr>
        <w:t>,</w:t>
      </w:r>
      <w:r w:rsidR="001A6D89">
        <w:rPr>
          <w:i/>
          <w:color w:val="002060"/>
          <w:sz w:val="24"/>
          <w:szCs w:val="24"/>
        </w:rPr>
        <w:t xml:space="preserve"> and the </w:t>
      </w:r>
      <w:r w:rsidR="00117769">
        <w:rPr>
          <w:i/>
          <w:color w:val="002060"/>
          <w:sz w:val="24"/>
          <w:szCs w:val="24"/>
        </w:rPr>
        <w:t>r</w:t>
      </w:r>
      <w:r w:rsidR="001A6D89">
        <w:rPr>
          <w:i/>
          <w:color w:val="002060"/>
          <w:sz w:val="24"/>
          <w:szCs w:val="24"/>
        </w:rPr>
        <w:t xml:space="preserve">ole of </w:t>
      </w:r>
      <w:r w:rsidR="00117769">
        <w:rPr>
          <w:i/>
          <w:color w:val="002060"/>
          <w:sz w:val="24"/>
          <w:szCs w:val="24"/>
        </w:rPr>
        <w:t>s</w:t>
      </w:r>
      <w:r w:rsidR="001A6D89">
        <w:rPr>
          <w:i/>
          <w:color w:val="002060"/>
          <w:sz w:val="24"/>
          <w:szCs w:val="24"/>
        </w:rPr>
        <w:t xml:space="preserve">ocial </w:t>
      </w:r>
      <w:r w:rsidR="00117769">
        <w:rPr>
          <w:i/>
          <w:color w:val="002060"/>
          <w:sz w:val="24"/>
          <w:szCs w:val="24"/>
        </w:rPr>
        <w:t>m</w:t>
      </w:r>
      <w:r w:rsidR="001A6D89">
        <w:rPr>
          <w:i/>
          <w:color w:val="002060"/>
          <w:sz w:val="24"/>
          <w:szCs w:val="24"/>
        </w:rPr>
        <w:t>edia</w:t>
      </w:r>
    </w:p>
    <w:p w:rsidRPr="00D85C18" w:rsidR="00B70378" w:rsidP="00187EF1" w:rsidRDefault="00B55379" w14:paraId="2415F6F3" w14:textId="5C368DBA">
      <w:pPr>
        <w:pStyle w:val="Normal0"/>
        <w:numPr>
          <w:ilvl w:val="0"/>
          <w:numId w:val="2"/>
        </w:numPr>
        <w:jc w:val="both"/>
        <w:rPr>
          <w:rFonts w:asciiTheme="minorHAnsi" w:hAnsiTheme="minorHAnsi" w:cstheme="minorHAnsi"/>
          <w:sz w:val="22"/>
          <w:szCs w:val="22"/>
        </w:rPr>
      </w:pPr>
      <w:r w:rsidRPr="090C4359">
        <w:rPr>
          <w:rFonts w:asciiTheme="minorHAnsi" w:hAnsiTheme="minorHAnsi" w:cstheme="minorBidi"/>
          <w:sz w:val="22"/>
          <w:szCs w:val="22"/>
        </w:rPr>
        <w:t>The evidence suggests that parents</w:t>
      </w:r>
      <w:r w:rsidRPr="090C4359" w:rsidR="00B70378">
        <w:rPr>
          <w:rFonts w:asciiTheme="minorHAnsi" w:hAnsiTheme="minorHAnsi" w:cstheme="minorBidi"/>
          <w:sz w:val="22"/>
          <w:szCs w:val="22"/>
        </w:rPr>
        <w:t xml:space="preserve"> of critically ill children</w:t>
      </w:r>
      <w:r w:rsidRPr="090C4359">
        <w:rPr>
          <w:rFonts w:asciiTheme="minorHAnsi" w:hAnsiTheme="minorHAnsi" w:cstheme="minorBidi"/>
          <w:sz w:val="22"/>
          <w:szCs w:val="22"/>
        </w:rPr>
        <w:t xml:space="preserve"> are increasingly turning</w:t>
      </w:r>
      <w:r w:rsidRPr="090C4359" w:rsidR="00B70378">
        <w:rPr>
          <w:rFonts w:asciiTheme="minorHAnsi" w:hAnsiTheme="minorHAnsi" w:cstheme="minorBidi"/>
          <w:sz w:val="22"/>
          <w:szCs w:val="22"/>
        </w:rPr>
        <w:t xml:space="preserve"> their attention</w:t>
      </w:r>
      <w:r w:rsidRPr="090C4359">
        <w:rPr>
          <w:rFonts w:asciiTheme="minorHAnsi" w:hAnsiTheme="minorHAnsi" w:cstheme="minorBidi"/>
          <w:sz w:val="22"/>
          <w:szCs w:val="22"/>
        </w:rPr>
        <w:t xml:space="preserve"> to</w:t>
      </w:r>
      <w:r w:rsidRPr="090C4359" w:rsidR="00B70378">
        <w:rPr>
          <w:rFonts w:asciiTheme="minorHAnsi" w:hAnsiTheme="minorHAnsi" w:cstheme="minorBidi"/>
          <w:sz w:val="22"/>
          <w:szCs w:val="22"/>
        </w:rPr>
        <w:t>, and putting their trust in</w:t>
      </w:r>
      <w:r w:rsidRPr="090C4359" w:rsidR="008F4B39">
        <w:rPr>
          <w:rFonts w:asciiTheme="minorHAnsi" w:hAnsiTheme="minorHAnsi" w:cstheme="minorBidi"/>
          <w:sz w:val="22"/>
          <w:szCs w:val="22"/>
        </w:rPr>
        <w:t>,</w:t>
      </w:r>
      <w:r w:rsidRPr="090C4359">
        <w:rPr>
          <w:rFonts w:asciiTheme="minorHAnsi" w:hAnsiTheme="minorHAnsi" w:cstheme="minorBidi"/>
          <w:sz w:val="22"/>
          <w:szCs w:val="22"/>
        </w:rPr>
        <w:t xml:space="preserve"> the internet and social media</w:t>
      </w:r>
      <w:r w:rsidRPr="090C4359" w:rsidR="00517A33">
        <w:rPr>
          <w:rFonts w:asciiTheme="minorHAnsi" w:hAnsiTheme="minorHAnsi" w:cstheme="minorBidi"/>
          <w:sz w:val="22"/>
          <w:szCs w:val="22"/>
        </w:rPr>
        <w:t>. A</w:t>
      </w:r>
      <w:r w:rsidRPr="090C4359" w:rsidR="00B70378">
        <w:rPr>
          <w:rFonts w:asciiTheme="minorHAnsi" w:hAnsiTheme="minorHAnsi" w:cstheme="minorBidi"/>
          <w:sz w:val="22"/>
          <w:szCs w:val="22"/>
        </w:rPr>
        <w:t xml:space="preserve"> USA study by Foot et al, which surveyed </w:t>
      </w:r>
      <w:r w:rsidRPr="090C4359" w:rsidR="00241012">
        <w:rPr>
          <w:rFonts w:asciiTheme="minorHAnsi" w:hAnsiTheme="minorHAnsi" w:cstheme="minorBidi"/>
          <w:sz w:val="22"/>
          <w:szCs w:val="22"/>
        </w:rPr>
        <w:t xml:space="preserve">90 </w:t>
      </w:r>
      <w:r w:rsidRPr="090C4359" w:rsidR="00B70378">
        <w:rPr>
          <w:rFonts w:asciiTheme="minorHAnsi" w:hAnsiTheme="minorHAnsi" w:cstheme="minorBidi"/>
          <w:sz w:val="22"/>
          <w:szCs w:val="22"/>
        </w:rPr>
        <w:t>parents of children with cancer</w:t>
      </w:r>
      <w:r w:rsidRPr="090C4359" w:rsidR="00517A33">
        <w:rPr>
          <w:rFonts w:asciiTheme="minorHAnsi" w:hAnsiTheme="minorHAnsi" w:cstheme="minorBidi"/>
          <w:sz w:val="22"/>
          <w:szCs w:val="22"/>
        </w:rPr>
        <w:t xml:space="preserve">, </w:t>
      </w:r>
      <w:r w:rsidRPr="090C4359" w:rsidR="00B70378">
        <w:rPr>
          <w:rFonts w:asciiTheme="minorHAnsi" w:hAnsiTheme="minorHAnsi" w:cstheme="minorBidi"/>
          <w:sz w:val="22"/>
          <w:szCs w:val="22"/>
        </w:rPr>
        <w:t>found that families frequently turned to social media to fill information gaps about prognosis or symptoms. 50%</w:t>
      </w:r>
      <w:r w:rsidRPr="090C4359" w:rsidR="006948E0">
        <w:rPr>
          <w:rFonts w:asciiTheme="minorHAnsi" w:hAnsiTheme="minorHAnsi" w:cstheme="minorBidi"/>
          <w:sz w:val="22"/>
          <w:szCs w:val="22"/>
        </w:rPr>
        <w:t xml:space="preserve"> of respond</w:t>
      </w:r>
      <w:r w:rsidRPr="090C4359" w:rsidR="00AC4B4E">
        <w:rPr>
          <w:rFonts w:asciiTheme="minorHAnsi" w:hAnsiTheme="minorHAnsi" w:cstheme="minorBidi"/>
          <w:sz w:val="22"/>
          <w:szCs w:val="22"/>
        </w:rPr>
        <w:t>e</w:t>
      </w:r>
      <w:r w:rsidRPr="090C4359" w:rsidR="006948E0">
        <w:rPr>
          <w:rFonts w:asciiTheme="minorHAnsi" w:hAnsiTheme="minorHAnsi" w:cstheme="minorBidi"/>
          <w:sz w:val="22"/>
          <w:szCs w:val="22"/>
        </w:rPr>
        <w:t>nts</w:t>
      </w:r>
      <w:r w:rsidRPr="090C4359" w:rsidR="00B70378">
        <w:rPr>
          <w:rFonts w:asciiTheme="minorHAnsi" w:hAnsiTheme="minorHAnsi" w:cstheme="minorBidi"/>
          <w:sz w:val="22"/>
          <w:szCs w:val="22"/>
        </w:rPr>
        <w:t xml:space="preserve"> used it to find new treatment options and 40% to confirm information provided by their child’s doctor.</w:t>
      </w:r>
      <w:r w:rsidRPr="090C4359" w:rsidR="00B70378">
        <w:rPr>
          <w:rStyle w:val="FootnoteReference"/>
          <w:rFonts w:asciiTheme="minorHAnsi" w:hAnsiTheme="minorHAnsi" w:cstheme="minorBidi"/>
          <w:sz w:val="22"/>
          <w:szCs w:val="22"/>
        </w:rPr>
        <w:footnoteReference w:id="143"/>
      </w:r>
      <w:r w:rsidRPr="090C4359" w:rsidR="00B70378">
        <w:rPr>
          <w:rFonts w:asciiTheme="minorHAnsi" w:hAnsiTheme="minorHAnsi" w:cstheme="minorBidi"/>
          <w:sz w:val="22"/>
          <w:szCs w:val="22"/>
        </w:rPr>
        <w:t xml:space="preserve"> </w:t>
      </w:r>
      <w:r w:rsidRPr="090C4359" w:rsidR="00F267EC">
        <w:rPr>
          <w:rFonts w:asciiTheme="minorHAnsi" w:hAnsiTheme="minorHAnsi" w:cstheme="minorBidi"/>
          <w:sz w:val="22"/>
          <w:szCs w:val="22"/>
        </w:rPr>
        <w:t>Foot et al’s</w:t>
      </w:r>
      <w:r w:rsidRPr="090C4359" w:rsidR="00B70378">
        <w:rPr>
          <w:rFonts w:asciiTheme="minorHAnsi" w:hAnsiTheme="minorHAnsi" w:cstheme="minorBidi"/>
          <w:sz w:val="22"/>
          <w:szCs w:val="22"/>
        </w:rPr>
        <w:t xml:space="preserve"> results showed that parents assessed the credibility and trustworthiness of information online, by seeking to verify it with doctors,</w:t>
      </w:r>
      <w:r w:rsidRPr="090C4359" w:rsidR="00F06EEE">
        <w:rPr>
          <w:rFonts w:asciiTheme="minorHAnsi" w:hAnsiTheme="minorHAnsi" w:cstheme="minorBidi"/>
          <w:sz w:val="22"/>
          <w:szCs w:val="22"/>
        </w:rPr>
        <w:t xml:space="preserve"> with</w:t>
      </w:r>
      <w:r w:rsidRPr="090C4359" w:rsidR="00B70378">
        <w:rPr>
          <w:rFonts w:asciiTheme="minorHAnsi" w:hAnsiTheme="minorHAnsi" w:cstheme="minorBidi"/>
          <w:sz w:val="22"/>
          <w:szCs w:val="22"/>
        </w:rPr>
        <w:t xml:space="preserve"> friends and relatives,</w:t>
      </w:r>
      <w:r w:rsidRPr="090C4359" w:rsidR="00F06EEE">
        <w:rPr>
          <w:rFonts w:asciiTheme="minorHAnsi" w:hAnsiTheme="minorHAnsi" w:cstheme="minorBidi"/>
          <w:sz w:val="22"/>
          <w:szCs w:val="22"/>
        </w:rPr>
        <w:t xml:space="preserve"> with</w:t>
      </w:r>
      <w:r w:rsidRPr="090C4359" w:rsidR="00B70378">
        <w:rPr>
          <w:rFonts w:asciiTheme="minorHAnsi" w:hAnsiTheme="minorHAnsi" w:cstheme="minorBidi"/>
          <w:sz w:val="22"/>
          <w:szCs w:val="22"/>
        </w:rPr>
        <w:t xml:space="preserve"> other families experiencing child cancer</w:t>
      </w:r>
      <w:r w:rsidRPr="090C4359" w:rsidR="00417875">
        <w:rPr>
          <w:rFonts w:asciiTheme="minorHAnsi" w:hAnsiTheme="minorHAnsi" w:cstheme="minorBidi"/>
          <w:sz w:val="22"/>
          <w:szCs w:val="22"/>
        </w:rPr>
        <w:t>,</w:t>
      </w:r>
      <w:r w:rsidRPr="090C4359" w:rsidR="00B70378">
        <w:rPr>
          <w:rFonts w:asciiTheme="minorHAnsi" w:hAnsiTheme="minorHAnsi" w:cstheme="minorBidi"/>
          <w:sz w:val="22"/>
          <w:szCs w:val="22"/>
        </w:rPr>
        <w:t xml:space="preserve"> or with “credible” sources, such as hospital websites and online medical journals.</w:t>
      </w:r>
      <w:r w:rsidRPr="090C4359" w:rsidR="00B70378">
        <w:rPr>
          <w:rStyle w:val="FootnoteReference"/>
          <w:rFonts w:asciiTheme="minorHAnsi" w:hAnsiTheme="minorHAnsi" w:cstheme="minorBidi"/>
          <w:sz w:val="22"/>
          <w:szCs w:val="22"/>
        </w:rPr>
        <w:footnoteReference w:id="144"/>
      </w:r>
      <w:r w:rsidRPr="090C4359" w:rsidR="00B70378">
        <w:rPr>
          <w:rFonts w:asciiTheme="minorHAnsi" w:hAnsiTheme="minorHAnsi" w:cstheme="minorBidi"/>
          <w:sz w:val="22"/>
          <w:szCs w:val="22"/>
        </w:rPr>
        <w:t xml:space="preserve"> Yet </w:t>
      </w:r>
      <w:r w:rsidRPr="090C4359" w:rsidR="00C24945">
        <w:rPr>
          <w:rFonts w:asciiTheme="minorHAnsi" w:hAnsiTheme="minorHAnsi" w:cstheme="minorBidi"/>
          <w:sz w:val="22"/>
          <w:szCs w:val="22"/>
        </w:rPr>
        <w:t xml:space="preserve">Wallis identifies that </w:t>
      </w:r>
      <w:r w:rsidRPr="090C4359" w:rsidR="00B70378">
        <w:rPr>
          <w:rFonts w:asciiTheme="minorHAnsi" w:hAnsiTheme="minorHAnsi" w:cstheme="minorBidi"/>
          <w:sz w:val="22"/>
          <w:szCs w:val="22"/>
        </w:rPr>
        <w:t>this is sometimes challenging given that ‘[t]hey find the internet alive with solutions from well-meaning families and untried miracle cures from salesmen some of whom are doctors too. They will promise help and cure in exchange for money or fame. Desperate parents will cling to these hopes.’</w:t>
      </w:r>
      <w:r w:rsidRPr="090C4359" w:rsidR="00B70378">
        <w:rPr>
          <w:rStyle w:val="FootnoteReference"/>
          <w:rFonts w:asciiTheme="minorHAnsi" w:hAnsiTheme="minorHAnsi" w:cstheme="minorBidi"/>
          <w:sz w:val="22"/>
          <w:szCs w:val="22"/>
        </w:rPr>
        <w:footnoteReference w:id="145"/>
      </w:r>
    </w:p>
    <w:p w:rsidRPr="00D85C18" w:rsidR="00B70378" w:rsidP="00B70378" w:rsidRDefault="00B70378" w14:paraId="3C73A62C" w14:textId="77777777">
      <w:pPr>
        <w:pStyle w:val="Normal0"/>
        <w:ind w:left="502"/>
        <w:rPr>
          <w:rFonts w:asciiTheme="minorHAnsi" w:hAnsiTheme="minorHAnsi" w:cstheme="minorHAnsi"/>
          <w:sz w:val="22"/>
          <w:szCs w:val="22"/>
        </w:rPr>
      </w:pPr>
    </w:p>
    <w:p w:rsidRPr="00D85C18" w:rsidR="009A02D7" w:rsidP="00187EF1" w:rsidRDefault="006D634F" w14:paraId="1E0E72E7" w14:textId="5A2F1FC9">
      <w:pPr>
        <w:pStyle w:val="Normal0"/>
        <w:numPr>
          <w:ilvl w:val="0"/>
          <w:numId w:val="2"/>
        </w:numPr>
        <w:jc w:val="both"/>
        <w:rPr>
          <w:rFonts w:asciiTheme="minorHAnsi" w:hAnsiTheme="minorHAnsi" w:cstheme="minorHAnsi"/>
          <w:sz w:val="22"/>
          <w:szCs w:val="22"/>
        </w:rPr>
      </w:pPr>
      <w:r w:rsidRPr="090C4359">
        <w:rPr>
          <w:rFonts w:asciiTheme="minorHAnsi" w:hAnsiTheme="minorHAnsi" w:cstheme="minorBidi"/>
          <w:sz w:val="22"/>
          <w:szCs w:val="22"/>
        </w:rPr>
        <w:t xml:space="preserve">Another driving factor was identified in </w:t>
      </w:r>
      <w:r w:rsidRPr="090C4359" w:rsidR="007C4A8E">
        <w:rPr>
          <w:rFonts w:asciiTheme="minorHAnsi" w:hAnsiTheme="minorHAnsi" w:cstheme="minorBidi"/>
          <w:sz w:val="22"/>
          <w:szCs w:val="22"/>
        </w:rPr>
        <w:t>Mooney-Doyle and Ulrich</w:t>
      </w:r>
      <w:r w:rsidRPr="090C4359" w:rsidR="00C35185">
        <w:rPr>
          <w:rFonts w:asciiTheme="minorHAnsi" w:hAnsiTheme="minorHAnsi" w:cstheme="minorBidi"/>
          <w:sz w:val="22"/>
          <w:szCs w:val="22"/>
        </w:rPr>
        <w:t>’s</w:t>
      </w:r>
      <w:r w:rsidRPr="090C4359" w:rsidR="007C4A8E">
        <w:rPr>
          <w:rFonts w:asciiTheme="minorHAnsi" w:hAnsiTheme="minorHAnsi" w:cstheme="minorBidi"/>
          <w:sz w:val="22"/>
          <w:szCs w:val="22"/>
        </w:rPr>
        <w:t xml:space="preserve"> </w:t>
      </w:r>
      <w:r w:rsidRPr="090C4359" w:rsidR="0088696D">
        <w:rPr>
          <w:rFonts w:asciiTheme="minorHAnsi" w:hAnsiTheme="minorHAnsi" w:cstheme="minorBidi"/>
          <w:sz w:val="22"/>
          <w:szCs w:val="22"/>
        </w:rPr>
        <w:t>study</w:t>
      </w:r>
      <w:r w:rsidRPr="090C4359" w:rsidR="00DB1B67">
        <w:rPr>
          <w:rFonts w:asciiTheme="minorHAnsi" w:hAnsiTheme="minorHAnsi" w:cstheme="minorBidi"/>
          <w:sz w:val="22"/>
          <w:szCs w:val="22"/>
        </w:rPr>
        <w:t>,</w:t>
      </w:r>
      <w:r w:rsidRPr="090C4359">
        <w:rPr>
          <w:rFonts w:asciiTheme="minorHAnsi" w:hAnsiTheme="minorHAnsi" w:cstheme="minorBidi"/>
          <w:sz w:val="22"/>
          <w:szCs w:val="22"/>
        </w:rPr>
        <w:t xml:space="preserve"> where they</w:t>
      </w:r>
      <w:r w:rsidRPr="090C4359" w:rsidR="0088696D">
        <w:rPr>
          <w:rFonts w:asciiTheme="minorHAnsi" w:hAnsiTheme="minorHAnsi" w:cstheme="minorBidi"/>
          <w:sz w:val="22"/>
          <w:szCs w:val="22"/>
        </w:rPr>
        <w:t xml:space="preserve"> observed ‘</w:t>
      </w:r>
      <w:r w:rsidRPr="090C4359" w:rsidR="005A0C37">
        <w:rPr>
          <w:rFonts w:asciiTheme="minorHAnsi" w:hAnsiTheme="minorHAnsi" w:cstheme="minorBidi"/>
          <w:sz w:val="22"/>
          <w:szCs w:val="22"/>
        </w:rPr>
        <w:t>ineffective or insensitive communication and insults to the parent–child relationship</w:t>
      </w:r>
      <w:r w:rsidRPr="090C4359" w:rsidR="0088696D">
        <w:rPr>
          <w:rFonts w:asciiTheme="minorHAnsi" w:hAnsiTheme="minorHAnsi" w:cstheme="minorBidi"/>
          <w:sz w:val="22"/>
          <w:szCs w:val="22"/>
        </w:rPr>
        <w:t>’ that led to distrust between parents and</w:t>
      </w:r>
      <w:r w:rsidRPr="090C4359" w:rsidR="009208B9">
        <w:rPr>
          <w:rFonts w:asciiTheme="minorHAnsi" w:hAnsiTheme="minorHAnsi" w:cstheme="minorBidi"/>
          <w:sz w:val="22"/>
          <w:szCs w:val="22"/>
        </w:rPr>
        <w:t xml:space="preserve"> healthcare professionals</w:t>
      </w:r>
      <w:r w:rsidRPr="090C4359" w:rsidR="00BC3694">
        <w:rPr>
          <w:rFonts w:asciiTheme="minorHAnsi" w:hAnsiTheme="minorHAnsi" w:cstheme="minorBidi"/>
          <w:sz w:val="22"/>
          <w:szCs w:val="22"/>
        </w:rPr>
        <w:t>’.</w:t>
      </w:r>
      <w:r w:rsidRPr="090C4359" w:rsidR="005A0C37">
        <w:rPr>
          <w:rStyle w:val="FootnoteReference"/>
          <w:rFonts w:asciiTheme="minorHAnsi" w:hAnsiTheme="minorHAnsi" w:cstheme="minorBidi"/>
          <w:sz w:val="22"/>
          <w:szCs w:val="22"/>
        </w:rPr>
        <w:footnoteReference w:id="146"/>
      </w:r>
      <w:r w:rsidRPr="090C4359" w:rsidR="00C07FDC">
        <w:rPr>
          <w:rFonts w:asciiTheme="minorHAnsi" w:hAnsiTheme="minorHAnsi" w:cstheme="minorBidi"/>
          <w:sz w:val="22"/>
          <w:szCs w:val="22"/>
        </w:rPr>
        <w:t xml:space="preserve"> </w:t>
      </w:r>
      <w:r w:rsidRPr="090C4359" w:rsidR="00BC3694">
        <w:rPr>
          <w:rFonts w:asciiTheme="minorHAnsi" w:hAnsiTheme="minorHAnsi" w:cstheme="minorBidi"/>
          <w:sz w:val="22"/>
          <w:szCs w:val="22"/>
        </w:rPr>
        <w:t xml:space="preserve">This loss of trust may result in parents no longer accepting </w:t>
      </w:r>
      <w:r w:rsidRPr="090C4359" w:rsidR="00D55E1B">
        <w:rPr>
          <w:rFonts w:asciiTheme="minorHAnsi" w:hAnsiTheme="minorHAnsi" w:cstheme="minorBidi"/>
          <w:sz w:val="22"/>
          <w:szCs w:val="22"/>
        </w:rPr>
        <w:t>what the doctors tell them</w:t>
      </w:r>
      <w:r w:rsidRPr="090C4359" w:rsidR="00D2136F">
        <w:rPr>
          <w:rFonts w:asciiTheme="minorHAnsi" w:hAnsiTheme="minorHAnsi" w:cstheme="minorBidi"/>
          <w:sz w:val="22"/>
          <w:szCs w:val="22"/>
        </w:rPr>
        <w:t>,</w:t>
      </w:r>
      <w:r w:rsidRPr="090C4359" w:rsidR="00D55E1B">
        <w:rPr>
          <w:rStyle w:val="FootnoteReference"/>
          <w:rFonts w:asciiTheme="minorHAnsi" w:hAnsiTheme="minorHAnsi" w:cstheme="minorBidi"/>
          <w:sz w:val="22"/>
          <w:szCs w:val="22"/>
        </w:rPr>
        <w:footnoteReference w:id="147"/>
      </w:r>
      <w:r w:rsidRPr="090C4359" w:rsidR="00D55E1B">
        <w:rPr>
          <w:rFonts w:asciiTheme="minorHAnsi" w:hAnsiTheme="minorHAnsi" w:cstheme="minorBidi"/>
          <w:sz w:val="22"/>
          <w:szCs w:val="22"/>
        </w:rPr>
        <w:t xml:space="preserve"> </w:t>
      </w:r>
      <w:r w:rsidRPr="090C4359" w:rsidR="00D2136F">
        <w:rPr>
          <w:rFonts w:asciiTheme="minorHAnsi" w:hAnsiTheme="minorHAnsi" w:cstheme="minorBidi"/>
          <w:sz w:val="22"/>
          <w:szCs w:val="22"/>
        </w:rPr>
        <w:t>and thus turning  to the internet and social media as an</w:t>
      </w:r>
      <w:r w:rsidRPr="090C4359" w:rsidR="00DB1B67">
        <w:rPr>
          <w:rFonts w:asciiTheme="minorHAnsi" w:hAnsiTheme="minorHAnsi" w:cstheme="minorBidi"/>
          <w:sz w:val="22"/>
          <w:szCs w:val="22"/>
        </w:rPr>
        <w:t xml:space="preserve"> </w:t>
      </w:r>
      <w:r w:rsidRPr="090C4359" w:rsidR="00D55E1B">
        <w:rPr>
          <w:rFonts w:asciiTheme="minorHAnsi" w:hAnsiTheme="minorHAnsi" w:cstheme="minorBidi"/>
          <w:sz w:val="22"/>
          <w:szCs w:val="22"/>
        </w:rPr>
        <w:t>alternative source of</w:t>
      </w:r>
      <w:r w:rsidRPr="090C4359" w:rsidR="00D55E1B">
        <w:rPr>
          <w:rFonts w:asciiTheme="minorHAnsi" w:hAnsiTheme="minorHAnsi" w:cstheme="minorBidi"/>
        </w:rPr>
        <w:t xml:space="preserve"> </w:t>
      </w:r>
      <w:r w:rsidRPr="090C4359" w:rsidR="00D55E1B">
        <w:rPr>
          <w:rFonts w:asciiTheme="minorHAnsi" w:hAnsiTheme="minorHAnsi" w:cstheme="minorBidi"/>
          <w:sz w:val="22"/>
          <w:szCs w:val="22"/>
        </w:rPr>
        <w:t>information.</w:t>
      </w:r>
      <w:r w:rsidRPr="090C4359" w:rsidR="00694EA1">
        <w:rPr>
          <w:rStyle w:val="FootnoteReference"/>
          <w:rFonts w:asciiTheme="minorHAnsi" w:hAnsiTheme="minorHAnsi" w:cstheme="minorBidi"/>
          <w:sz w:val="22"/>
          <w:szCs w:val="22"/>
        </w:rPr>
        <w:footnoteReference w:id="148"/>
      </w:r>
      <w:r w:rsidRPr="090C4359" w:rsidR="009A02D7">
        <w:rPr>
          <w:rFonts w:asciiTheme="minorHAnsi" w:hAnsiTheme="minorHAnsi" w:cstheme="minorBidi"/>
          <w:sz w:val="22"/>
          <w:szCs w:val="22"/>
        </w:rPr>
        <w:t xml:space="preserve"> </w:t>
      </w:r>
      <w:r w:rsidRPr="090C4359" w:rsidR="00EF01DB">
        <w:rPr>
          <w:rFonts w:asciiTheme="minorHAnsi" w:hAnsiTheme="minorHAnsi" w:cstheme="minorBidi"/>
          <w:sz w:val="22"/>
          <w:szCs w:val="22"/>
        </w:rPr>
        <w:t xml:space="preserve">However, </w:t>
      </w:r>
      <w:r w:rsidRPr="090C4359" w:rsidR="00B61C5C">
        <w:rPr>
          <w:rFonts w:asciiTheme="minorHAnsi" w:hAnsiTheme="minorHAnsi" w:cstheme="minorBidi"/>
          <w:sz w:val="22"/>
          <w:szCs w:val="22"/>
        </w:rPr>
        <w:t xml:space="preserve">as Das found in her study of online support group “Charlie’s Army”, </w:t>
      </w:r>
      <w:r w:rsidRPr="090C4359" w:rsidR="00EF01DB">
        <w:rPr>
          <w:rFonts w:asciiTheme="minorHAnsi" w:hAnsiTheme="minorHAnsi" w:cstheme="minorBidi"/>
          <w:sz w:val="22"/>
          <w:szCs w:val="22"/>
        </w:rPr>
        <w:t xml:space="preserve">the evidence also reveals </w:t>
      </w:r>
      <w:r w:rsidRPr="090C4359" w:rsidR="00B61C5C">
        <w:rPr>
          <w:rFonts w:asciiTheme="minorHAnsi" w:hAnsiTheme="minorHAnsi" w:cstheme="minorBidi"/>
          <w:sz w:val="22"/>
          <w:szCs w:val="22"/>
        </w:rPr>
        <w:t xml:space="preserve">increasing populist </w:t>
      </w:r>
      <w:r w:rsidRPr="090C4359" w:rsidR="0092507E">
        <w:rPr>
          <w:rFonts w:asciiTheme="minorHAnsi" w:hAnsiTheme="minorHAnsi" w:cstheme="minorBidi"/>
          <w:sz w:val="22"/>
          <w:szCs w:val="22"/>
        </w:rPr>
        <w:t>reject</w:t>
      </w:r>
      <w:r w:rsidRPr="090C4359" w:rsidR="00B61C5C">
        <w:rPr>
          <w:rFonts w:asciiTheme="minorHAnsi" w:hAnsiTheme="minorHAnsi" w:cstheme="minorBidi"/>
          <w:sz w:val="22"/>
          <w:szCs w:val="22"/>
        </w:rPr>
        <w:t>ion</w:t>
      </w:r>
      <w:r w:rsidRPr="090C4359" w:rsidR="00A8682A">
        <w:rPr>
          <w:rFonts w:asciiTheme="minorHAnsi" w:hAnsiTheme="minorHAnsi" w:cstheme="minorBidi"/>
          <w:sz w:val="22"/>
          <w:szCs w:val="22"/>
        </w:rPr>
        <w:t xml:space="preserve"> </w:t>
      </w:r>
      <w:r w:rsidRPr="090C4359" w:rsidR="0098126C">
        <w:rPr>
          <w:rFonts w:asciiTheme="minorHAnsi" w:hAnsiTheme="minorHAnsi" w:cstheme="minorBidi"/>
          <w:sz w:val="22"/>
          <w:szCs w:val="22"/>
        </w:rPr>
        <w:t xml:space="preserve">of </w:t>
      </w:r>
      <w:r w:rsidRPr="090C4359" w:rsidR="00A8682A">
        <w:rPr>
          <w:rFonts w:asciiTheme="minorHAnsi" w:hAnsiTheme="minorHAnsi" w:cstheme="minorBidi"/>
          <w:sz w:val="22"/>
          <w:szCs w:val="22"/>
        </w:rPr>
        <w:t>expert opinion</w:t>
      </w:r>
      <w:r w:rsidRPr="090C4359" w:rsidR="001A6D89">
        <w:rPr>
          <w:rFonts w:asciiTheme="minorHAnsi" w:hAnsiTheme="minorHAnsi" w:cstheme="minorBidi"/>
          <w:sz w:val="22"/>
          <w:szCs w:val="22"/>
        </w:rPr>
        <w:t xml:space="preserve"> in general</w:t>
      </w:r>
      <w:r w:rsidRPr="090C4359" w:rsidR="00A8682A">
        <w:rPr>
          <w:rFonts w:asciiTheme="minorHAnsi" w:hAnsiTheme="minorHAnsi" w:cstheme="minorBidi"/>
          <w:sz w:val="22"/>
          <w:szCs w:val="22"/>
        </w:rPr>
        <w:t xml:space="preserve">, </w:t>
      </w:r>
      <w:r w:rsidRPr="090C4359" w:rsidR="008E16E5">
        <w:rPr>
          <w:rFonts w:asciiTheme="minorHAnsi" w:hAnsiTheme="minorHAnsi" w:cstheme="minorBidi"/>
          <w:sz w:val="22"/>
          <w:szCs w:val="22"/>
        </w:rPr>
        <w:t>in favour of anec</w:t>
      </w:r>
      <w:r w:rsidRPr="090C4359" w:rsidR="007E10F5">
        <w:rPr>
          <w:rFonts w:asciiTheme="minorHAnsi" w:hAnsiTheme="minorHAnsi" w:cstheme="minorBidi"/>
          <w:sz w:val="22"/>
          <w:szCs w:val="22"/>
        </w:rPr>
        <w:t>dote and personal experience.</w:t>
      </w:r>
      <w:r w:rsidRPr="090C4359" w:rsidR="00BB1D8F">
        <w:rPr>
          <w:rStyle w:val="FootnoteReference"/>
          <w:rFonts w:asciiTheme="minorHAnsi" w:hAnsiTheme="minorHAnsi" w:cstheme="minorBidi"/>
          <w:sz w:val="22"/>
          <w:szCs w:val="22"/>
        </w:rPr>
        <w:footnoteReference w:id="149"/>
      </w:r>
      <w:r w:rsidRPr="090C4359" w:rsidR="00BB1D8F">
        <w:rPr>
          <w:rFonts w:asciiTheme="minorHAnsi" w:hAnsiTheme="minorHAnsi" w:cstheme="minorBidi"/>
          <w:sz w:val="22"/>
          <w:szCs w:val="22"/>
        </w:rPr>
        <w:t xml:space="preserve"> Whilst </w:t>
      </w:r>
      <w:r w:rsidRPr="090C4359" w:rsidR="009A02D7">
        <w:rPr>
          <w:rFonts w:asciiTheme="minorHAnsi" w:hAnsiTheme="minorHAnsi" w:cstheme="minorBidi"/>
          <w:sz w:val="22"/>
          <w:szCs w:val="22"/>
        </w:rPr>
        <w:t>Auckland</w:t>
      </w:r>
      <w:r w:rsidRPr="090C4359" w:rsidR="00297950">
        <w:rPr>
          <w:rFonts w:asciiTheme="minorHAnsi" w:hAnsiTheme="minorHAnsi" w:cstheme="minorBidi"/>
          <w:sz w:val="22"/>
          <w:szCs w:val="22"/>
        </w:rPr>
        <w:t xml:space="preserve"> and</w:t>
      </w:r>
      <w:r w:rsidRPr="090C4359" w:rsidR="009A02D7">
        <w:rPr>
          <w:rFonts w:asciiTheme="minorHAnsi" w:hAnsiTheme="minorHAnsi" w:cstheme="minorBidi"/>
          <w:sz w:val="22"/>
          <w:szCs w:val="22"/>
        </w:rPr>
        <w:t xml:space="preserve"> Goold</w:t>
      </w:r>
      <w:r w:rsidRPr="090C4359" w:rsidR="0087132E">
        <w:rPr>
          <w:rFonts w:asciiTheme="minorHAnsi" w:hAnsiTheme="minorHAnsi" w:cstheme="minorBidi"/>
          <w:sz w:val="22"/>
          <w:szCs w:val="22"/>
        </w:rPr>
        <w:t>’s view</w:t>
      </w:r>
      <w:r w:rsidRPr="090C4359" w:rsidR="00297950">
        <w:rPr>
          <w:rFonts w:asciiTheme="minorHAnsi" w:hAnsiTheme="minorHAnsi" w:cstheme="minorBidi"/>
          <w:sz w:val="22"/>
          <w:szCs w:val="22"/>
        </w:rPr>
        <w:t xml:space="preserve"> is</w:t>
      </w:r>
      <w:r w:rsidRPr="090C4359" w:rsidR="0087132E">
        <w:rPr>
          <w:rFonts w:asciiTheme="minorHAnsi" w:hAnsiTheme="minorHAnsi" w:cstheme="minorBidi"/>
          <w:sz w:val="22"/>
          <w:szCs w:val="22"/>
        </w:rPr>
        <w:t xml:space="preserve"> that a ‘</w:t>
      </w:r>
      <w:r w:rsidRPr="090C4359" w:rsidR="009A02D7">
        <w:rPr>
          <w:rFonts w:asciiTheme="minorHAnsi" w:hAnsiTheme="minorHAnsi" w:cstheme="minorBidi"/>
          <w:sz w:val="22"/>
          <w:szCs w:val="22"/>
        </w:rPr>
        <w:t>culture of deference to doctors which results in parents feeling unable to voice discontent at the way their child is being treated would clearly be undesirable</w:t>
      </w:r>
      <w:r w:rsidRPr="090C4359" w:rsidR="00297950">
        <w:rPr>
          <w:rFonts w:asciiTheme="minorHAnsi" w:hAnsiTheme="minorHAnsi" w:cstheme="minorBidi"/>
          <w:sz w:val="22"/>
          <w:szCs w:val="22"/>
        </w:rPr>
        <w:t>,</w:t>
      </w:r>
      <w:r w:rsidRPr="090C4359" w:rsidR="009A02D7">
        <w:rPr>
          <w:rStyle w:val="FootnoteReference"/>
          <w:rFonts w:asciiTheme="minorHAnsi" w:hAnsiTheme="minorHAnsi" w:cstheme="minorBidi"/>
          <w:sz w:val="22"/>
          <w:szCs w:val="22"/>
        </w:rPr>
        <w:footnoteReference w:id="150"/>
      </w:r>
      <w:r w:rsidRPr="090C4359" w:rsidR="00FC66B5">
        <w:rPr>
          <w:rFonts w:asciiTheme="minorHAnsi" w:hAnsiTheme="minorHAnsi" w:cstheme="minorBidi"/>
          <w:sz w:val="22"/>
          <w:szCs w:val="22"/>
        </w:rPr>
        <w:t xml:space="preserve"> </w:t>
      </w:r>
      <w:r w:rsidRPr="090C4359" w:rsidR="00B16B9E">
        <w:rPr>
          <w:rFonts w:asciiTheme="minorHAnsi" w:hAnsiTheme="minorHAnsi" w:cstheme="minorBidi"/>
          <w:sz w:val="22"/>
          <w:szCs w:val="22"/>
        </w:rPr>
        <w:t>Wallis contends that there has been a</w:t>
      </w:r>
      <w:r w:rsidRPr="090C4359" w:rsidR="001B424B">
        <w:rPr>
          <w:rFonts w:asciiTheme="minorHAnsi" w:hAnsiTheme="minorHAnsi" w:cstheme="minorBidi"/>
          <w:sz w:val="22"/>
          <w:szCs w:val="22"/>
        </w:rPr>
        <w:t xml:space="preserve"> shift where ‘[a]</w:t>
      </w:r>
      <w:r w:rsidRPr="090C4359" w:rsidR="00FC66B5">
        <w:rPr>
          <w:rFonts w:asciiTheme="minorHAnsi" w:hAnsiTheme="minorHAnsi" w:cstheme="minorBidi"/>
          <w:sz w:val="22"/>
          <w:szCs w:val="22"/>
        </w:rPr>
        <w:t xml:space="preserve"> section of modern society has turned against experts and gives equal weight to a 120-character tweeted opinion.’</w:t>
      </w:r>
      <w:r w:rsidRPr="090C4359" w:rsidR="0050572C">
        <w:rPr>
          <w:rStyle w:val="FootnoteReference"/>
          <w:rFonts w:asciiTheme="minorHAnsi" w:hAnsiTheme="minorHAnsi" w:cstheme="minorBidi"/>
          <w:sz w:val="22"/>
          <w:szCs w:val="22"/>
        </w:rPr>
        <w:footnoteReference w:id="151"/>
      </w:r>
      <w:r w:rsidRPr="090C4359" w:rsidR="003D0342">
        <w:rPr>
          <w:rFonts w:asciiTheme="minorHAnsi" w:hAnsiTheme="minorHAnsi" w:cstheme="minorBidi"/>
          <w:sz w:val="22"/>
          <w:szCs w:val="22"/>
        </w:rPr>
        <w:t xml:space="preserve"> </w:t>
      </w:r>
    </w:p>
    <w:p w:rsidRPr="00B232FD" w:rsidR="00723BE6" w:rsidP="00B232FD" w:rsidRDefault="00723BE6" w14:paraId="6267E92B" w14:textId="77777777">
      <w:pPr>
        <w:rPr>
          <w:rFonts w:cstheme="minorHAnsi"/>
        </w:rPr>
      </w:pPr>
    </w:p>
    <w:p w:rsidRPr="00D85C18" w:rsidR="00AD17B3" w:rsidP="00187EF1" w:rsidRDefault="005A7C2B" w14:paraId="740DA0BA" w14:textId="5B68FDF8">
      <w:pPr>
        <w:pStyle w:val="Normal0"/>
        <w:numPr>
          <w:ilvl w:val="0"/>
          <w:numId w:val="2"/>
        </w:numPr>
        <w:jc w:val="both"/>
        <w:rPr>
          <w:rFonts w:ascii="Segoe UI" w:hAnsi="Segoe UI" w:cs="Segoe UI"/>
          <w:sz w:val="20"/>
          <w:szCs w:val="20"/>
        </w:rPr>
      </w:pPr>
      <w:r w:rsidRPr="090C4359">
        <w:rPr>
          <w:rFonts w:asciiTheme="minorHAnsi" w:hAnsiTheme="minorHAnsi" w:cstheme="minorBidi"/>
          <w:sz w:val="22"/>
          <w:szCs w:val="22"/>
        </w:rPr>
        <w:t>In</w:t>
      </w:r>
      <w:r w:rsidRPr="090C4359" w:rsidR="0016673F">
        <w:rPr>
          <w:rFonts w:asciiTheme="minorHAnsi" w:hAnsiTheme="minorHAnsi" w:cstheme="minorBidi"/>
          <w:sz w:val="22"/>
          <w:szCs w:val="22"/>
        </w:rPr>
        <w:t xml:space="preserve"> </w:t>
      </w:r>
      <w:r w:rsidRPr="090C4359" w:rsidR="00870691">
        <w:rPr>
          <w:rFonts w:asciiTheme="minorHAnsi" w:hAnsiTheme="minorHAnsi" w:cstheme="minorBidi"/>
          <w:i/>
          <w:iCs/>
          <w:sz w:val="22"/>
          <w:szCs w:val="22"/>
        </w:rPr>
        <w:t>Battersbee</w:t>
      </w:r>
      <w:r w:rsidRPr="090C4359" w:rsidR="00F03B76">
        <w:rPr>
          <w:rFonts w:asciiTheme="minorHAnsi" w:hAnsiTheme="minorHAnsi" w:cstheme="minorBidi"/>
          <w:sz w:val="22"/>
          <w:szCs w:val="22"/>
        </w:rPr>
        <w:t xml:space="preserve"> the family turned to online sources of information</w:t>
      </w:r>
      <w:r w:rsidRPr="090C4359" w:rsidR="00250A4F">
        <w:rPr>
          <w:rFonts w:asciiTheme="minorHAnsi" w:hAnsiTheme="minorHAnsi" w:cstheme="minorBidi"/>
          <w:sz w:val="22"/>
          <w:szCs w:val="22"/>
        </w:rPr>
        <w:t xml:space="preserve"> to support their position in the first court case</w:t>
      </w:r>
      <w:r w:rsidRPr="090C4359" w:rsidR="009C7F8C">
        <w:rPr>
          <w:rFonts w:asciiTheme="minorHAnsi" w:hAnsiTheme="minorHAnsi" w:cstheme="minorBidi"/>
          <w:sz w:val="22"/>
          <w:szCs w:val="22"/>
        </w:rPr>
        <w:t>,</w:t>
      </w:r>
      <w:r w:rsidRPr="090C4359" w:rsidR="00250A4F">
        <w:rPr>
          <w:rFonts w:asciiTheme="minorHAnsi" w:hAnsiTheme="minorHAnsi" w:cstheme="minorBidi"/>
          <w:sz w:val="22"/>
          <w:szCs w:val="22"/>
        </w:rPr>
        <w:t xml:space="preserve"> by</w:t>
      </w:r>
      <w:r w:rsidRPr="090C4359" w:rsidR="00596A9D">
        <w:rPr>
          <w:rFonts w:asciiTheme="minorHAnsi" w:hAnsiTheme="minorHAnsi" w:cstheme="minorBidi"/>
          <w:sz w:val="22"/>
          <w:szCs w:val="22"/>
        </w:rPr>
        <w:t xml:space="preserve"> </w:t>
      </w:r>
      <w:r w:rsidRPr="090C4359" w:rsidR="009C7F8C">
        <w:rPr>
          <w:rFonts w:asciiTheme="minorHAnsi" w:hAnsiTheme="minorHAnsi" w:cstheme="minorBidi"/>
          <w:sz w:val="22"/>
          <w:szCs w:val="22"/>
        </w:rPr>
        <w:t>citing</w:t>
      </w:r>
      <w:r w:rsidRPr="090C4359" w:rsidR="009371EC">
        <w:rPr>
          <w:rFonts w:asciiTheme="minorHAnsi" w:hAnsiTheme="minorHAnsi" w:cstheme="minorBidi"/>
          <w:sz w:val="22"/>
          <w:szCs w:val="22"/>
        </w:rPr>
        <w:t xml:space="preserve"> American journal articles</w:t>
      </w:r>
      <w:r w:rsidRPr="090C4359" w:rsidR="009C7F8C">
        <w:rPr>
          <w:rFonts w:asciiTheme="minorHAnsi" w:hAnsiTheme="minorHAnsi" w:cstheme="minorBidi"/>
          <w:sz w:val="22"/>
          <w:szCs w:val="22"/>
        </w:rPr>
        <w:t xml:space="preserve"> to </w:t>
      </w:r>
      <w:r w:rsidRPr="090C4359" w:rsidR="009371EC">
        <w:rPr>
          <w:rFonts w:asciiTheme="minorHAnsi" w:hAnsiTheme="minorHAnsi" w:cstheme="minorBidi"/>
          <w:sz w:val="22"/>
          <w:szCs w:val="22"/>
        </w:rPr>
        <w:t>suggest the brain stem death test was unreliable</w:t>
      </w:r>
      <w:r w:rsidRPr="090C4359" w:rsidR="00D8054D">
        <w:rPr>
          <w:rFonts w:asciiTheme="minorHAnsi" w:hAnsiTheme="minorHAnsi" w:cstheme="minorBidi"/>
          <w:sz w:val="22"/>
          <w:szCs w:val="22"/>
        </w:rPr>
        <w:t xml:space="preserve"> and</w:t>
      </w:r>
      <w:r w:rsidRPr="090C4359" w:rsidR="00F67FB3">
        <w:rPr>
          <w:rFonts w:asciiTheme="minorHAnsi" w:hAnsiTheme="minorHAnsi" w:cstheme="minorBidi"/>
          <w:sz w:val="22"/>
          <w:szCs w:val="22"/>
        </w:rPr>
        <w:t xml:space="preserve"> </w:t>
      </w:r>
      <w:r w:rsidRPr="090C4359" w:rsidR="00D8054D">
        <w:rPr>
          <w:rFonts w:asciiTheme="minorHAnsi" w:hAnsiTheme="minorHAnsi" w:cstheme="minorBidi"/>
          <w:sz w:val="22"/>
          <w:szCs w:val="22"/>
        </w:rPr>
        <w:t>dr</w:t>
      </w:r>
      <w:r w:rsidRPr="090C4359" w:rsidR="001B775B">
        <w:rPr>
          <w:rFonts w:asciiTheme="minorHAnsi" w:hAnsiTheme="minorHAnsi" w:cstheme="minorBidi"/>
          <w:sz w:val="22"/>
          <w:szCs w:val="22"/>
        </w:rPr>
        <w:t>awing</w:t>
      </w:r>
      <w:r w:rsidRPr="090C4359" w:rsidR="000A6804">
        <w:rPr>
          <w:rFonts w:asciiTheme="minorHAnsi" w:hAnsiTheme="minorHAnsi" w:cstheme="minorBidi"/>
          <w:sz w:val="22"/>
          <w:szCs w:val="22"/>
        </w:rPr>
        <w:t xml:space="preserve"> on</w:t>
      </w:r>
      <w:r w:rsidRPr="090C4359" w:rsidR="00D8054D">
        <w:rPr>
          <w:rFonts w:asciiTheme="minorHAnsi" w:hAnsiTheme="minorHAnsi" w:cstheme="minorBidi"/>
          <w:sz w:val="22"/>
          <w:szCs w:val="22"/>
        </w:rPr>
        <w:t xml:space="preserve"> </w:t>
      </w:r>
      <w:r w:rsidRPr="090C4359" w:rsidR="00DB6063">
        <w:rPr>
          <w:rFonts w:asciiTheme="minorHAnsi" w:hAnsiTheme="minorHAnsi" w:cstheme="minorBidi"/>
          <w:sz w:val="22"/>
          <w:szCs w:val="22"/>
        </w:rPr>
        <w:t>press reports of recover</w:t>
      </w:r>
      <w:r w:rsidRPr="090C4359" w:rsidR="00D8054D">
        <w:rPr>
          <w:rFonts w:asciiTheme="minorHAnsi" w:hAnsiTheme="minorHAnsi" w:cstheme="minorBidi"/>
          <w:sz w:val="22"/>
          <w:szCs w:val="22"/>
        </w:rPr>
        <w:t>y of consciousness</w:t>
      </w:r>
      <w:r w:rsidRPr="090C4359" w:rsidR="00054498">
        <w:rPr>
          <w:rFonts w:asciiTheme="minorHAnsi" w:hAnsiTheme="minorHAnsi" w:cstheme="minorBidi"/>
          <w:sz w:val="22"/>
          <w:szCs w:val="22"/>
        </w:rPr>
        <w:t xml:space="preserve"> after declaration of brain death</w:t>
      </w:r>
      <w:r w:rsidRPr="090C4359" w:rsidR="00596A9D">
        <w:rPr>
          <w:rFonts w:asciiTheme="minorHAnsi" w:hAnsiTheme="minorHAnsi" w:cstheme="minorBidi"/>
          <w:sz w:val="22"/>
          <w:szCs w:val="22"/>
        </w:rPr>
        <w:t>, to argue against testing.</w:t>
      </w:r>
      <w:r w:rsidRPr="090C4359" w:rsidR="00870691">
        <w:rPr>
          <w:rStyle w:val="FootnoteReference"/>
          <w:rFonts w:asciiTheme="minorHAnsi" w:hAnsiTheme="minorHAnsi" w:cstheme="minorBidi"/>
          <w:sz w:val="22"/>
          <w:szCs w:val="22"/>
        </w:rPr>
        <w:footnoteReference w:id="152"/>
      </w:r>
      <w:r w:rsidRPr="090C4359" w:rsidR="00D8054D">
        <w:rPr>
          <w:rFonts w:asciiTheme="minorHAnsi" w:hAnsiTheme="minorHAnsi" w:cstheme="minorBidi"/>
          <w:sz w:val="22"/>
          <w:szCs w:val="22"/>
        </w:rPr>
        <w:t xml:space="preserve"> </w:t>
      </w:r>
      <w:r w:rsidRPr="090C4359" w:rsidR="007314B3">
        <w:rPr>
          <w:rFonts w:asciiTheme="minorHAnsi" w:hAnsiTheme="minorHAnsi" w:cstheme="minorBidi"/>
          <w:sz w:val="22"/>
          <w:szCs w:val="22"/>
        </w:rPr>
        <w:t xml:space="preserve">When considering this evidence </w:t>
      </w:r>
      <w:r w:rsidRPr="090C4359" w:rsidR="004C79BE">
        <w:rPr>
          <w:rFonts w:asciiTheme="minorHAnsi" w:hAnsiTheme="minorHAnsi" w:cstheme="minorBidi"/>
          <w:sz w:val="22"/>
          <w:szCs w:val="22"/>
        </w:rPr>
        <w:t>Arbuthnot</w:t>
      </w:r>
      <w:r w:rsidRPr="090C4359" w:rsidR="004F14F1">
        <w:rPr>
          <w:rFonts w:asciiTheme="minorHAnsi" w:hAnsiTheme="minorHAnsi" w:cstheme="minorBidi"/>
          <w:sz w:val="22"/>
          <w:szCs w:val="22"/>
        </w:rPr>
        <w:t xml:space="preserve"> J</w:t>
      </w:r>
      <w:r w:rsidRPr="090C4359" w:rsidR="007314B3">
        <w:rPr>
          <w:rFonts w:asciiTheme="minorHAnsi" w:hAnsiTheme="minorHAnsi" w:cstheme="minorBidi"/>
          <w:sz w:val="22"/>
          <w:szCs w:val="22"/>
        </w:rPr>
        <w:t xml:space="preserve"> held that</w:t>
      </w:r>
      <w:r w:rsidRPr="090C4359" w:rsidR="00D07D8C">
        <w:rPr>
          <w:rFonts w:asciiTheme="minorHAnsi" w:hAnsiTheme="minorHAnsi" w:cstheme="minorBidi"/>
          <w:sz w:val="22"/>
          <w:szCs w:val="22"/>
        </w:rPr>
        <w:t xml:space="preserve"> </w:t>
      </w:r>
      <w:r w:rsidRPr="090C4359" w:rsidR="005249B3">
        <w:rPr>
          <w:rFonts w:asciiTheme="minorHAnsi" w:hAnsiTheme="minorHAnsi" w:cstheme="minorBidi"/>
          <w:sz w:val="22"/>
          <w:szCs w:val="22"/>
        </w:rPr>
        <w:t xml:space="preserve">placing reliance on it was unhelpful </w:t>
      </w:r>
      <w:r w:rsidRPr="090C4359" w:rsidR="00D07D8C">
        <w:rPr>
          <w:rFonts w:asciiTheme="minorHAnsi" w:hAnsiTheme="minorHAnsi" w:cstheme="minorBidi"/>
          <w:sz w:val="22"/>
          <w:szCs w:val="22"/>
        </w:rPr>
        <w:t>given that the information</w:t>
      </w:r>
      <w:r w:rsidRPr="090C4359" w:rsidR="007314B3">
        <w:rPr>
          <w:rFonts w:asciiTheme="minorHAnsi" w:hAnsiTheme="minorHAnsi" w:cstheme="minorBidi"/>
          <w:sz w:val="22"/>
          <w:szCs w:val="22"/>
        </w:rPr>
        <w:t xml:space="preserve"> in the American journals was outdated and </w:t>
      </w:r>
      <w:r w:rsidRPr="090C4359" w:rsidR="005249B3">
        <w:rPr>
          <w:rFonts w:asciiTheme="minorHAnsi" w:hAnsiTheme="minorHAnsi" w:cstheme="minorBidi"/>
          <w:sz w:val="22"/>
          <w:szCs w:val="22"/>
        </w:rPr>
        <w:t xml:space="preserve">contextually inapplicable </w:t>
      </w:r>
      <w:r w:rsidRPr="090C4359" w:rsidR="007314B3">
        <w:rPr>
          <w:rFonts w:asciiTheme="minorHAnsi" w:hAnsiTheme="minorHAnsi" w:cstheme="minorBidi"/>
          <w:sz w:val="22"/>
          <w:szCs w:val="22"/>
        </w:rPr>
        <w:t>and the press reports had no clear relevance a case like Archie’s.</w:t>
      </w:r>
      <w:r w:rsidRPr="090C4359" w:rsidR="007314B3">
        <w:rPr>
          <w:rStyle w:val="FootnoteReference"/>
          <w:rFonts w:asciiTheme="minorHAnsi" w:hAnsiTheme="minorHAnsi" w:cstheme="minorBidi"/>
          <w:sz w:val="22"/>
          <w:szCs w:val="22"/>
        </w:rPr>
        <w:footnoteReference w:id="153"/>
      </w:r>
      <w:r w:rsidRPr="090C4359" w:rsidR="00596A9D">
        <w:rPr>
          <w:rFonts w:asciiTheme="minorHAnsi" w:hAnsiTheme="minorHAnsi" w:cstheme="minorBidi"/>
          <w:sz w:val="22"/>
          <w:szCs w:val="22"/>
        </w:rPr>
        <w:t xml:space="preserve"> </w:t>
      </w:r>
      <w:r w:rsidRPr="090C4359" w:rsidR="004F14F1">
        <w:rPr>
          <w:rFonts w:asciiTheme="minorHAnsi" w:hAnsiTheme="minorHAnsi" w:cstheme="minorBidi"/>
          <w:sz w:val="22"/>
          <w:szCs w:val="22"/>
        </w:rPr>
        <w:t xml:space="preserve"> In the </w:t>
      </w:r>
      <w:r w:rsidRPr="090C4359" w:rsidR="00AC145B">
        <w:rPr>
          <w:rFonts w:asciiTheme="minorHAnsi" w:hAnsiTheme="minorHAnsi" w:cstheme="minorBidi"/>
          <w:sz w:val="22"/>
          <w:szCs w:val="22"/>
        </w:rPr>
        <w:t>second</w:t>
      </w:r>
      <w:r w:rsidRPr="090C4359" w:rsidR="004F14F1">
        <w:rPr>
          <w:rFonts w:asciiTheme="minorHAnsi" w:hAnsiTheme="minorHAnsi" w:cstheme="minorBidi"/>
          <w:sz w:val="22"/>
          <w:szCs w:val="22"/>
        </w:rPr>
        <w:t xml:space="preserve"> case, when the relationship between the professionals </w:t>
      </w:r>
      <w:r w:rsidRPr="090C4359" w:rsidR="003A02CA">
        <w:rPr>
          <w:rFonts w:asciiTheme="minorHAnsi" w:hAnsiTheme="minorHAnsi" w:cstheme="minorBidi"/>
          <w:sz w:val="22"/>
          <w:szCs w:val="22"/>
        </w:rPr>
        <w:t>had broken down further</w:t>
      </w:r>
      <w:r w:rsidRPr="090C4359" w:rsidR="00C9528C">
        <w:rPr>
          <w:rFonts w:asciiTheme="minorHAnsi" w:hAnsiTheme="minorHAnsi" w:cstheme="minorBidi"/>
          <w:sz w:val="22"/>
          <w:szCs w:val="22"/>
        </w:rPr>
        <w:t xml:space="preserve">, </w:t>
      </w:r>
      <w:r w:rsidRPr="090C4359" w:rsidR="00247BB3">
        <w:rPr>
          <w:rFonts w:asciiTheme="minorHAnsi" w:hAnsiTheme="minorHAnsi" w:cstheme="minorBidi"/>
          <w:sz w:val="22"/>
          <w:szCs w:val="22"/>
        </w:rPr>
        <w:t xml:space="preserve">Arbuthnot J noted that </w:t>
      </w:r>
      <w:r w:rsidRPr="090C4359" w:rsidR="00732F1D">
        <w:rPr>
          <w:rFonts w:asciiTheme="minorHAnsi" w:hAnsiTheme="minorHAnsi" w:cstheme="minorBidi"/>
          <w:sz w:val="22"/>
          <w:szCs w:val="22"/>
        </w:rPr>
        <w:t xml:space="preserve">whilst </w:t>
      </w:r>
      <w:r w:rsidRPr="090C4359" w:rsidR="00960187">
        <w:rPr>
          <w:rFonts w:asciiTheme="minorHAnsi" w:hAnsiTheme="minorHAnsi" w:cstheme="minorBidi"/>
          <w:sz w:val="22"/>
          <w:szCs w:val="22"/>
        </w:rPr>
        <w:t>Archie’s medical records</w:t>
      </w:r>
      <w:r w:rsidRPr="090C4359" w:rsidR="0051532C">
        <w:rPr>
          <w:rFonts w:asciiTheme="minorHAnsi" w:hAnsiTheme="minorHAnsi" w:cstheme="minorBidi"/>
          <w:sz w:val="22"/>
          <w:szCs w:val="22"/>
        </w:rPr>
        <w:t xml:space="preserve"> contained a nursing note that</w:t>
      </w:r>
      <w:r w:rsidRPr="090C4359" w:rsidR="00960187">
        <w:rPr>
          <w:rFonts w:asciiTheme="minorHAnsi" w:hAnsiTheme="minorHAnsi" w:cstheme="minorBidi"/>
          <w:sz w:val="22"/>
          <w:szCs w:val="22"/>
        </w:rPr>
        <w:t xml:space="preserve"> </w:t>
      </w:r>
      <w:r w:rsidRPr="090C4359" w:rsidR="0051532C">
        <w:rPr>
          <w:rFonts w:asciiTheme="minorHAnsi" w:hAnsiTheme="minorHAnsi" w:cstheme="minorBidi"/>
          <w:sz w:val="22"/>
          <w:szCs w:val="22"/>
        </w:rPr>
        <w:t>‘</w:t>
      </w:r>
      <w:r w:rsidRPr="090C4359" w:rsidR="000A6804">
        <w:rPr>
          <w:rFonts w:asciiTheme="minorHAnsi" w:hAnsiTheme="minorHAnsi" w:cstheme="minorBidi"/>
          <w:sz w:val="22"/>
          <w:szCs w:val="22"/>
        </w:rPr>
        <w:t>Archie’s mother preferred to search for answers on the internet or from people who had contacted her rather than accepting what the specialist doctors treating Archie and who have care of him on a daily basis were saying</w:t>
      </w:r>
      <w:r w:rsidRPr="090C4359" w:rsidR="007C0DFD">
        <w:rPr>
          <w:rFonts w:asciiTheme="minorHAnsi" w:hAnsiTheme="minorHAnsi" w:cstheme="minorBidi"/>
          <w:sz w:val="22"/>
          <w:szCs w:val="22"/>
        </w:rPr>
        <w:t>’, she did not accept that ‘</w:t>
      </w:r>
      <w:r w:rsidRPr="090C4359" w:rsidR="00BD5185">
        <w:rPr>
          <w:rFonts w:asciiTheme="minorHAnsi" w:hAnsiTheme="minorHAnsi" w:cstheme="minorBidi"/>
          <w:sz w:val="22"/>
          <w:szCs w:val="22"/>
        </w:rPr>
        <w:t>these experienced doctors were not worthy of her [Archie’s mother’s] trust’.</w:t>
      </w:r>
      <w:r w:rsidRPr="090C4359" w:rsidR="007C0DFD">
        <w:rPr>
          <w:rFonts w:asciiTheme="minorHAnsi" w:hAnsiTheme="minorHAnsi" w:cstheme="minorBidi"/>
          <w:sz w:val="22"/>
          <w:szCs w:val="22"/>
        </w:rPr>
        <w:t xml:space="preserve"> </w:t>
      </w:r>
      <w:r w:rsidRPr="090C4359" w:rsidR="000A6804">
        <w:rPr>
          <w:rStyle w:val="FootnoteReference"/>
          <w:rFonts w:asciiTheme="minorHAnsi" w:hAnsiTheme="minorHAnsi" w:cstheme="minorBidi"/>
          <w:sz w:val="22"/>
          <w:szCs w:val="22"/>
        </w:rPr>
        <w:footnoteReference w:id="154"/>
      </w:r>
      <w:r w:rsidRPr="090C4359" w:rsidR="0051532C">
        <w:rPr>
          <w:rFonts w:asciiTheme="minorHAnsi" w:hAnsiTheme="minorHAnsi" w:cstheme="minorBidi"/>
          <w:sz w:val="22"/>
          <w:szCs w:val="22"/>
        </w:rPr>
        <w:t xml:space="preserve"> </w:t>
      </w:r>
    </w:p>
    <w:p w:rsidRPr="00C9528C" w:rsidR="00AD17B3" w:rsidP="00AD17B3" w:rsidRDefault="00AD17B3" w14:paraId="207CEFF0" w14:textId="77777777">
      <w:pPr>
        <w:pStyle w:val="Normal0"/>
        <w:ind w:left="502"/>
        <w:rPr>
          <w:rFonts w:ascii="Segoe UI" w:hAnsi="Segoe UI" w:cs="Segoe UI"/>
          <w:sz w:val="20"/>
          <w:szCs w:val="20"/>
        </w:rPr>
      </w:pPr>
    </w:p>
    <w:p w:rsidRPr="008D1F3C" w:rsidR="004F43AE" w:rsidP="00187EF1" w:rsidRDefault="007921DE" w14:paraId="74F78A1D" w14:textId="34CBB0D1">
      <w:pPr>
        <w:pStyle w:val="Normal0"/>
        <w:numPr>
          <w:ilvl w:val="0"/>
          <w:numId w:val="2"/>
        </w:numPr>
        <w:jc w:val="both"/>
        <w:rPr>
          <w:rFonts w:asciiTheme="minorHAnsi" w:hAnsiTheme="minorHAnsi" w:cstheme="minorHAnsi"/>
        </w:rPr>
      </w:pPr>
      <w:r w:rsidRPr="090C4359">
        <w:rPr>
          <w:rFonts w:asciiTheme="minorHAnsi" w:hAnsiTheme="minorHAnsi" w:cstheme="minorBidi"/>
          <w:sz w:val="22"/>
          <w:szCs w:val="22"/>
        </w:rPr>
        <w:t>It is undeniable that</w:t>
      </w:r>
      <w:r w:rsidRPr="090C4359" w:rsidR="00A375BC">
        <w:rPr>
          <w:rFonts w:asciiTheme="minorHAnsi" w:hAnsiTheme="minorHAnsi" w:cstheme="minorBidi"/>
          <w:sz w:val="22"/>
          <w:szCs w:val="22"/>
        </w:rPr>
        <w:t xml:space="preserve"> access to online information has </w:t>
      </w:r>
      <w:r w:rsidRPr="090C4359" w:rsidR="00FC66B5">
        <w:rPr>
          <w:rFonts w:asciiTheme="minorHAnsi" w:hAnsiTheme="minorHAnsi" w:cstheme="minorBidi"/>
          <w:sz w:val="22"/>
          <w:szCs w:val="22"/>
        </w:rPr>
        <w:t>altered the balance of power in healthcare</w:t>
      </w:r>
      <w:r w:rsidRPr="090C4359" w:rsidR="00A375BC">
        <w:rPr>
          <w:rFonts w:asciiTheme="minorHAnsi" w:hAnsiTheme="minorHAnsi" w:cstheme="minorBidi"/>
          <w:sz w:val="22"/>
          <w:szCs w:val="22"/>
        </w:rPr>
        <w:t>.</w:t>
      </w:r>
      <w:r w:rsidRPr="090C4359" w:rsidR="00FC66B5">
        <w:rPr>
          <w:rStyle w:val="FootnoteReference"/>
          <w:rFonts w:asciiTheme="minorHAnsi" w:hAnsiTheme="minorHAnsi" w:cstheme="minorBidi"/>
          <w:sz w:val="22"/>
          <w:szCs w:val="22"/>
        </w:rPr>
        <w:footnoteReference w:id="155"/>
      </w:r>
      <w:r w:rsidRPr="090C4359" w:rsidR="00C93221">
        <w:rPr>
          <w:rFonts w:asciiTheme="minorHAnsi" w:hAnsiTheme="minorHAnsi" w:cstheme="minorBidi"/>
          <w:sz w:val="22"/>
          <w:szCs w:val="22"/>
        </w:rPr>
        <w:t xml:space="preserve"> </w:t>
      </w:r>
      <w:r w:rsidRPr="090C4359" w:rsidR="000611B8">
        <w:rPr>
          <w:rFonts w:asciiTheme="minorHAnsi" w:hAnsiTheme="minorHAnsi" w:cstheme="minorBidi"/>
          <w:sz w:val="22"/>
          <w:szCs w:val="22"/>
        </w:rPr>
        <w:t>Often</w:t>
      </w:r>
      <w:r w:rsidRPr="090C4359">
        <w:rPr>
          <w:rFonts w:asciiTheme="minorHAnsi" w:hAnsiTheme="minorHAnsi" w:cstheme="minorBidi"/>
          <w:sz w:val="22"/>
          <w:szCs w:val="22"/>
        </w:rPr>
        <w:t xml:space="preserve"> healthcare professionals</w:t>
      </w:r>
      <w:r w:rsidRPr="090C4359" w:rsidR="000611B8">
        <w:rPr>
          <w:rFonts w:asciiTheme="minorHAnsi" w:hAnsiTheme="minorHAnsi" w:cstheme="minorBidi"/>
          <w:sz w:val="22"/>
          <w:szCs w:val="22"/>
        </w:rPr>
        <w:t xml:space="preserve"> are</w:t>
      </w:r>
      <w:r w:rsidRPr="090C4359">
        <w:rPr>
          <w:rFonts w:asciiTheme="minorHAnsi" w:hAnsiTheme="minorHAnsi" w:cstheme="minorBidi"/>
          <w:sz w:val="22"/>
          <w:szCs w:val="22"/>
        </w:rPr>
        <w:t xml:space="preserve"> concern</w:t>
      </w:r>
      <w:r w:rsidRPr="090C4359" w:rsidR="000611B8">
        <w:rPr>
          <w:rFonts w:asciiTheme="minorHAnsi" w:hAnsiTheme="minorHAnsi" w:cstheme="minorBidi"/>
          <w:sz w:val="22"/>
          <w:szCs w:val="22"/>
        </w:rPr>
        <w:t>ed</w:t>
      </w:r>
      <w:r w:rsidRPr="090C4359">
        <w:rPr>
          <w:rFonts w:asciiTheme="minorHAnsi" w:hAnsiTheme="minorHAnsi" w:cstheme="minorBidi"/>
          <w:sz w:val="22"/>
          <w:szCs w:val="22"/>
        </w:rPr>
        <w:t xml:space="preserve"> </w:t>
      </w:r>
      <w:r w:rsidRPr="090C4359" w:rsidR="002853FB">
        <w:rPr>
          <w:rFonts w:asciiTheme="minorHAnsi" w:hAnsiTheme="minorHAnsi" w:cstheme="minorBidi"/>
          <w:sz w:val="22"/>
          <w:szCs w:val="22"/>
        </w:rPr>
        <w:t>about</w:t>
      </w:r>
      <w:r w:rsidRPr="090C4359" w:rsidR="00AE63A5">
        <w:rPr>
          <w:rFonts w:asciiTheme="minorHAnsi" w:hAnsiTheme="minorHAnsi" w:cstheme="minorBidi"/>
          <w:sz w:val="22"/>
          <w:szCs w:val="22"/>
        </w:rPr>
        <w:t xml:space="preserve"> misinformation, </w:t>
      </w:r>
      <w:r w:rsidRPr="090C4359" w:rsidR="000611B8">
        <w:rPr>
          <w:rFonts w:asciiTheme="minorHAnsi" w:hAnsiTheme="minorHAnsi" w:cstheme="minorBidi"/>
          <w:sz w:val="22"/>
          <w:szCs w:val="22"/>
        </w:rPr>
        <w:t>with Nottingham noting that during the</w:t>
      </w:r>
      <w:r w:rsidRPr="090C4359" w:rsidR="000611B8">
        <w:rPr>
          <w:rFonts w:asciiTheme="minorHAnsi" w:hAnsiTheme="minorHAnsi" w:cstheme="minorBidi"/>
          <w:i/>
          <w:iCs/>
          <w:sz w:val="22"/>
          <w:szCs w:val="22"/>
        </w:rPr>
        <w:t xml:space="preserve"> Gard </w:t>
      </w:r>
      <w:r w:rsidRPr="090C4359" w:rsidR="000611B8">
        <w:rPr>
          <w:rFonts w:asciiTheme="minorHAnsi" w:hAnsiTheme="minorHAnsi" w:cstheme="minorBidi"/>
          <w:sz w:val="22"/>
          <w:szCs w:val="22"/>
        </w:rPr>
        <w:t xml:space="preserve">and </w:t>
      </w:r>
      <w:r w:rsidRPr="090C4359" w:rsidR="000611B8">
        <w:rPr>
          <w:rFonts w:asciiTheme="minorHAnsi" w:hAnsiTheme="minorHAnsi" w:cstheme="minorBidi"/>
          <w:i/>
          <w:iCs/>
          <w:sz w:val="22"/>
          <w:szCs w:val="22"/>
        </w:rPr>
        <w:t>Evans</w:t>
      </w:r>
      <w:r w:rsidRPr="090C4359" w:rsidR="000611B8">
        <w:rPr>
          <w:rFonts w:asciiTheme="minorHAnsi" w:hAnsiTheme="minorHAnsi" w:cstheme="minorBidi"/>
          <w:sz w:val="22"/>
          <w:szCs w:val="22"/>
        </w:rPr>
        <w:t xml:space="preserve"> cases ‘much misinformation was spread (…) partly because the ease with which misinformed members of the public could post their views on social media, and the ease with which these posts could be shared or retweeted</w:t>
      </w:r>
      <w:r w:rsidRPr="090C4359" w:rsidR="000611B8">
        <w:rPr>
          <w:rFonts w:asciiTheme="minorHAnsi" w:hAnsiTheme="minorHAnsi" w:cstheme="minorBidi"/>
        </w:rPr>
        <w:t xml:space="preserve"> </w:t>
      </w:r>
      <w:r w:rsidRPr="090C4359" w:rsidR="000611B8">
        <w:rPr>
          <w:rFonts w:asciiTheme="minorHAnsi" w:hAnsiTheme="minorHAnsi" w:cstheme="minorBidi"/>
          <w:sz w:val="22"/>
          <w:szCs w:val="22"/>
        </w:rPr>
        <w:t>extensively’.</w:t>
      </w:r>
      <w:r w:rsidRPr="090C4359" w:rsidR="000611B8">
        <w:rPr>
          <w:rStyle w:val="FootnoteReference"/>
          <w:rFonts w:asciiTheme="minorHAnsi" w:hAnsiTheme="minorHAnsi" w:cstheme="minorBidi"/>
          <w:sz w:val="22"/>
          <w:szCs w:val="22"/>
        </w:rPr>
        <w:footnoteReference w:id="156"/>
      </w:r>
      <w:r w:rsidRPr="090C4359" w:rsidR="008D1F3C">
        <w:rPr>
          <w:rFonts w:asciiTheme="minorHAnsi" w:hAnsiTheme="minorHAnsi" w:cstheme="minorBidi"/>
          <w:sz w:val="22"/>
          <w:szCs w:val="22"/>
        </w:rPr>
        <w:t xml:space="preserve"> However Foot et al</w:t>
      </w:r>
      <w:r w:rsidRPr="090C4359" w:rsidR="00AE63A5">
        <w:rPr>
          <w:rFonts w:asciiTheme="minorHAnsi" w:hAnsiTheme="minorHAnsi" w:cstheme="minorBidi"/>
          <w:sz w:val="22"/>
          <w:szCs w:val="22"/>
        </w:rPr>
        <w:t xml:space="preserve"> found that</w:t>
      </w:r>
      <w:r w:rsidRPr="090C4359">
        <w:rPr>
          <w:rFonts w:asciiTheme="minorHAnsi" w:hAnsiTheme="minorHAnsi" w:cstheme="minorBidi"/>
          <w:sz w:val="22"/>
          <w:szCs w:val="22"/>
        </w:rPr>
        <w:t xml:space="preserve"> </w:t>
      </w:r>
      <w:r w:rsidRPr="090C4359" w:rsidR="00AE63A5">
        <w:rPr>
          <w:rFonts w:asciiTheme="minorHAnsi" w:hAnsiTheme="minorHAnsi" w:cstheme="minorBidi"/>
          <w:sz w:val="22"/>
          <w:szCs w:val="22"/>
        </w:rPr>
        <w:t>it</w:t>
      </w:r>
      <w:r w:rsidRPr="090C4359">
        <w:rPr>
          <w:rFonts w:asciiTheme="minorHAnsi" w:hAnsiTheme="minorHAnsi" w:cstheme="minorBidi"/>
          <w:sz w:val="22"/>
          <w:szCs w:val="22"/>
        </w:rPr>
        <w:t xml:space="preserve"> was </w:t>
      </w:r>
      <w:r w:rsidRPr="090C4359" w:rsidR="00AE63A5">
        <w:rPr>
          <w:rFonts w:asciiTheme="minorHAnsi" w:hAnsiTheme="minorHAnsi" w:cstheme="minorBidi"/>
          <w:sz w:val="22"/>
          <w:szCs w:val="22"/>
        </w:rPr>
        <w:t>‘</w:t>
      </w:r>
      <w:r w:rsidRPr="090C4359">
        <w:rPr>
          <w:rFonts w:asciiTheme="minorHAnsi" w:hAnsiTheme="minorHAnsi" w:cstheme="minorBidi"/>
          <w:sz w:val="22"/>
          <w:szCs w:val="22"/>
        </w:rPr>
        <w:t>less pervasive a theme than we expecte</w:t>
      </w:r>
      <w:r w:rsidRPr="090C4359" w:rsidR="00AE63A5">
        <w:rPr>
          <w:rFonts w:asciiTheme="minorHAnsi" w:hAnsiTheme="minorHAnsi" w:cstheme="minorBidi"/>
          <w:sz w:val="22"/>
          <w:szCs w:val="22"/>
        </w:rPr>
        <w:t>d’</w:t>
      </w:r>
      <w:r w:rsidRPr="090C4359" w:rsidR="00917854">
        <w:rPr>
          <w:rFonts w:asciiTheme="minorHAnsi" w:hAnsiTheme="minorHAnsi" w:cstheme="minorBidi"/>
          <w:sz w:val="22"/>
          <w:szCs w:val="22"/>
        </w:rPr>
        <w:t>.</w:t>
      </w:r>
      <w:r w:rsidRPr="090C4359" w:rsidR="00917854">
        <w:rPr>
          <w:rStyle w:val="FootnoteReference"/>
          <w:rFonts w:asciiTheme="minorHAnsi" w:hAnsiTheme="minorHAnsi" w:cstheme="minorBidi"/>
          <w:sz w:val="22"/>
          <w:szCs w:val="22"/>
        </w:rPr>
        <w:footnoteReference w:id="157"/>
      </w:r>
      <w:r w:rsidRPr="090C4359" w:rsidR="00DA4E91">
        <w:rPr>
          <w:rFonts w:asciiTheme="minorHAnsi" w:hAnsiTheme="minorHAnsi" w:cstheme="minorBidi"/>
          <w:sz w:val="22"/>
          <w:szCs w:val="22"/>
        </w:rPr>
        <w:t xml:space="preserve"> </w:t>
      </w:r>
      <w:r w:rsidRPr="090C4359" w:rsidR="00CE467E">
        <w:rPr>
          <w:rFonts w:asciiTheme="minorHAnsi" w:hAnsiTheme="minorHAnsi" w:cstheme="minorBidi"/>
          <w:sz w:val="22"/>
          <w:szCs w:val="22"/>
        </w:rPr>
        <w:t>In this respect they point to a</w:t>
      </w:r>
      <w:r w:rsidRPr="090C4359" w:rsidR="00144FD6">
        <w:rPr>
          <w:rFonts w:asciiTheme="minorHAnsi" w:hAnsiTheme="minorHAnsi" w:cstheme="minorBidi"/>
          <w:sz w:val="22"/>
          <w:szCs w:val="22"/>
        </w:rPr>
        <w:t xml:space="preserve"> </w:t>
      </w:r>
      <w:r w:rsidRPr="090C4359" w:rsidR="007C5D4F">
        <w:rPr>
          <w:rFonts w:asciiTheme="minorHAnsi" w:hAnsiTheme="minorHAnsi" w:cstheme="minorBidi"/>
          <w:sz w:val="22"/>
          <w:szCs w:val="22"/>
        </w:rPr>
        <w:t>‘</w:t>
      </w:r>
      <w:r w:rsidRPr="090C4359">
        <w:rPr>
          <w:rFonts w:asciiTheme="minorHAnsi" w:hAnsiTheme="minorHAnsi" w:cstheme="minorBidi"/>
          <w:sz w:val="22"/>
          <w:szCs w:val="22"/>
        </w:rPr>
        <w:t xml:space="preserve">potential mismatch between professional and parental priorities in discussions of </w:t>
      </w:r>
      <w:r w:rsidRPr="090C4359" w:rsidR="007C5D4F">
        <w:rPr>
          <w:rFonts w:asciiTheme="minorHAnsi" w:hAnsiTheme="minorHAnsi" w:cstheme="minorBidi"/>
          <w:sz w:val="22"/>
          <w:szCs w:val="22"/>
        </w:rPr>
        <w:t>social media</w:t>
      </w:r>
      <w:r w:rsidRPr="090C4359">
        <w:rPr>
          <w:rFonts w:asciiTheme="minorHAnsi" w:hAnsiTheme="minorHAnsi" w:cstheme="minorBidi"/>
          <w:sz w:val="22"/>
          <w:szCs w:val="22"/>
        </w:rPr>
        <w:t>-related concerns’</w:t>
      </w:r>
      <w:r w:rsidRPr="090C4359" w:rsidR="00CE467E">
        <w:rPr>
          <w:rFonts w:asciiTheme="minorHAnsi" w:hAnsiTheme="minorHAnsi" w:cstheme="minorBidi"/>
          <w:sz w:val="22"/>
          <w:szCs w:val="22"/>
        </w:rPr>
        <w:t>, with professionals</w:t>
      </w:r>
      <w:r w:rsidRPr="090C4359" w:rsidR="00FB7A1A">
        <w:rPr>
          <w:rFonts w:asciiTheme="minorHAnsi" w:hAnsiTheme="minorHAnsi" w:cstheme="minorBidi"/>
          <w:sz w:val="22"/>
          <w:szCs w:val="22"/>
        </w:rPr>
        <w:t xml:space="preserve"> aim</w:t>
      </w:r>
      <w:r w:rsidRPr="090C4359" w:rsidR="00F31A49">
        <w:rPr>
          <w:rFonts w:asciiTheme="minorHAnsi" w:hAnsiTheme="minorHAnsi" w:cstheme="minorBidi"/>
          <w:sz w:val="22"/>
          <w:szCs w:val="22"/>
        </w:rPr>
        <w:t>in</w:t>
      </w:r>
      <w:r w:rsidRPr="090C4359" w:rsidR="00FB7A1A">
        <w:rPr>
          <w:rFonts w:asciiTheme="minorHAnsi" w:hAnsiTheme="minorHAnsi" w:cstheme="minorBidi"/>
          <w:sz w:val="22"/>
          <w:szCs w:val="22"/>
        </w:rPr>
        <w:t>g to</w:t>
      </w:r>
      <w:r w:rsidRPr="090C4359" w:rsidR="00CE467E">
        <w:rPr>
          <w:rFonts w:asciiTheme="minorHAnsi" w:hAnsiTheme="minorHAnsi" w:cstheme="minorBidi"/>
          <w:sz w:val="22"/>
          <w:szCs w:val="22"/>
        </w:rPr>
        <w:t xml:space="preserve"> counter</w:t>
      </w:r>
      <w:r w:rsidRPr="090C4359" w:rsidR="0087447C">
        <w:rPr>
          <w:rFonts w:asciiTheme="minorHAnsi" w:hAnsiTheme="minorHAnsi" w:cstheme="minorBidi"/>
          <w:sz w:val="22"/>
          <w:szCs w:val="22"/>
        </w:rPr>
        <w:t xml:space="preserve"> perceived</w:t>
      </w:r>
      <w:r w:rsidRPr="090C4359" w:rsidR="00CE467E">
        <w:rPr>
          <w:rFonts w:asciiTheme="minorHAnsi" w:hAnsiTheme="minorHAnsi" w:cstheme="minorBidi"/>
          <w:sz w:val="22"/>
          <w:szCs w:val="22"/>
        </w:rPr>
        <w:t xml:space="preserve"> mis</w:t>
      </w:r>
      <w:r w:rsidRPr="090C4359" w:rsidR="00AD110A">
        <w:rPr>
          <w:rFonts w:asciiTheme="minorHAnsi" w:hAnsiTheme="minorHAnsi" w:cstheme="minorBidi"/>
          <w:sz w:val="22"/>
          <w:szCs w:val="22"/>
        </w:rPr>
        <w:t>information, whilst parents want</w:t>
      </w:r>
      <w:r w:rsidRPr="090C4359" w:rsidR="00F31A49">
        <w:rPr>
          <w:rFonts w:asciiTheme="minorHAnsi" w:hAnsiTheme="minorHAnsi" w:cstheme="minorBidi"/>
          <w:sz w:val="22"/>
          <w:szCs w:val="22"/>
        </w:rPr>
        <w:t>ed</w:t>
      </w:r>
      <w:r w:rsidRPr="090C4359" w:rsidR="00956992">
        <w:rPr>
          <w:rFonts w:asciiTheme="minorHAnsi" w:hAnsiTheme="minorHAnsi" w:cstheme="minorBidi"/>
          <w:sz w:val="22"/>
          <w:szCs w:val="22"/>
        </w:rPr>
        <w:t xml:space="preserve"> to know how to </w:t>
      </w:r>
      <w:r w:rsidRPr="090C4359" w:rsidR="009D71CE">
        <w:rPr>
          <w:rFonts w:asciiTheme="minorHAnsi" w:hAnsiTheme="minorHAnsi" w:cstheme="minorBidi"/>
          <w:sz w:val="22"/>
          <w:szCs w:val="22"/>
        </w:rPr>
        <w:t>navigate social media effectively</w:t>
      </w:r>
      <w:r w:rsidRPr="090C4359" w:rsidR="00C850F0">
        <w:rPr>
          <w:rFonts w:asciiTheme="minorHAnsi" w:hAnsiTheme="minorHAnsi" w:cstheme="minorBidi"/>
          <w:sz w:val="22"/>
          <w:szCs w:val="22"/>
        </w:rPr>
        <w:t>, as ‘</w:t>
      </w:r>
      <w:r w:rsidRPr="090C4359" w:rsidR="00F31A49">
        <w:rPr>
          <w:rFonts w:asciiTheme="minorHAnsi" w:hAnsiTheme="minorHAnsi" w:cstheme="minorBidi"/>
          <w:sz w:val="22"/>
          <w:szCs w:val="22"/>
        </w:rPr>
        <w:t>part of retaining agency in difficult circumstances</w:t>
      </w:r>
      <w:r w:rsidRPr="090C4359" w:rsidR="005E5662">
        <w:rPr>
          <w:rFonts w:asciiTheme="minorHAnsi" w:hAnsiTheme="minorHAnsi" w:cstheme="minorBidi"/>
          <w:sz w:val="22"/>
          <w:szCs w:val="22"/>
        </w:rPr>
        <w:t>,</w:t>
      </w:r>
      <w:r w:rsidRPr="090C4359" w:rsidR="00C850F0">
        <w:rPr>
          <w:rFonts w:asciiTheme="minorHAnsi" w:hAnsiTheme="minorHAnsi" w:cstheme="minorBidi"/>
          <w:sz w:val="22"/>
          <w:szCs w:val="22"/>
        </w:rPr>
        <w:t xml:space="preserve"> (…) </w:t>
      </w:r>
      <w:r w:rsidRPr="090C4359" w:rsidR="00F31A49">
        <w:rPr>
          <w:rFonts w:asciiTheme="minorHAnsi" w:hAnsiTheme="minorHAnsi" w:cstheme="minorBidi"/>
          <w:sz w:val="22"/>
          <w:szCs w:val="22"/>
        </w:rPr>
        <w:t>while also protecting their own mental health and well-bein</w:t>
      </w:r>
      <w:r w:rsidRPr="090C4359" w:rsidR="00C850F0">
        <w:rPr>
          <w:rFonts w:asciiTheme="minorHAnsi" w:hAnsiTheme="minorHAnsi" w:cstheme="minorBidi"/>
          <w:sz w:val="22"/>
          <w:szCs w:val="22"/>
        </w:rPr>
        <w:t>g’.</w:t>
      </w:r>
      <w:r w:rsidRPr="090C4359">
        <w:rPr>
          <w:rStyle w:val="FootnoteReference"/>
          <w:rFonts w:asciiTheme="minorHAnsi" w:hAnsiTheme="minorHAnsi" w:cstheme="minorBidi"/>
          <w:sz w:val="22"/>
          <w:szCs w:val="22"/>
        </w:rPr>
        <w:footnoteReference w:id="158"/>
      </w:r>
      <w:r w:rsidRPr="090C4359" w:rsidR="007C5D4F">
        <w:rPr>
          <w:rFonts w:asciiTheme="minorHAnsi" w:hAnsiTheme="minorHAnsi" w:cstheme="minorBidi"/>
          <w:sz w:val="22"/>
          <w:szCs w:val="22"/>
        </w:rPr>
        <w:t xml:space="preserve"> </w:t>
      </w:r>
      <w:r w:rsidRPr="090C4359" w:rsidR="00BC2031">
        <w:rPr>
          <w:rFonts w:asciiTheme="minorHAnsi" w:hAnsiTheme="minorHAnsi" w:cstheme="minorBidi"/>
          <w:sz w:val="22"/>
          <w:szCs w:val="22"/>
        </w:rPr>
        <w:t>Foot et al</w:t>
      </w:r>
      <w:r w:rsidRPr="090C4359" w:rsidR="007C5D4F">
        <w:rPr>
          <w:rFonts w:asciiTheme="minorHAnsi" w:hAnsiTheme="minorHAnsi" w:cstheme="minorBidi"/>
          <w:sz w:val="22"/>
          <w:szCs w:val="22"/>
        </w:rPr>
        <w:t xml:space="preserve"> referred to studies that showed that doctors </w:t>
      </w:r>
      <w:r w:rsidRPr="090C4359" w:rsidR="003F0A71">
        <w:rPr>
          <w:rFonts w:asciiTheme="minorHAnsi" w:hAnsiTheme="minorHAnsi" w:cstheme="minorBidi"/>
          <w:sz w:val="22"/>
          <w:szCs w:val="22"/>
        </w:rPr>
        <w:t>felt ‘</w:t>
      </w:r>
      <w:r w:rsidRPr="090C4359" w:rsidR="00FF5ECE">
        <w:rPr>
          <w:rFonts w:asciiTheme="minorHAnsi" w:hAnsiTheme="minorHAnsi" w:cstheme="minorBidi"/>
          <w:sz w:val="22"/>
          <w:szCs w:val="22"/>
        </w:rPr>
        <w:t>obliged to reallocate time</w:t>
      </w:r>
      <w:r w:rsidRPr="090C4359" w:rsidR="003F0A71">
        <w:rPr>
          <w:rFonts w:asciiTheme="minorHAnsi" w:hAnsiTheme="minorHAnsi" w:cstheme="minorBidi"/>
          <w:sz w:val="22"/>
          <w:szCs w:val="22"/>
        </w:rPr>
        <w:t>’ to better help parents understand</w:t>
      </w:r>
      <w:r w:rsidRPr="090C4359" w:rsidR="00021C43">
        <w:rPr>
          <w:rFonts w:asciiTheme="minorHAnsi" w:hAnsiTheme="minorHAnsi" w:cstheme="minorBidi"/>
          <w:sz w:val="22"/>
          <w:szCs w:val="22"/>
        </w:rPr>
        <w:t xml:space="preserve"> the</w:t>
      </w:r>
      <w:r w:rsidRPr="090C4359" w:rsidR="00FF5ECE">
        <w:rPr>
          <w:rFonts w:asciiTheme="minorHAnsi" w:hAnsiTheme="minorHAnsi" w:cstheme="minorBidi"/>
          <w:sz w:val="22"/>
          <w:szCs w:val="22"/>
        </w:rPr>
        <w:t xml:space="preserve"> </w:t>
      </w:r>
      <w:r w:rsidRPr="090C4359" w:rsidR="00021C43">
        <w:rPr>
          <w:rFonts w:asciiTheme="minorHAnsi" w:hAnsiTheme="minorHAnsi" w:cstheme="minorBidi"/>
          <w:sz w:val="22"/>
          <w:szCs w:val="22"/>
        </w:rPr>
        <w:t>‘</w:t>
      </w:r>
      <w:r w:rsidRPr="090C4359" w:rsidR="00FF5ECE">
        <w:rPr>
          <w:rFonts w:asciiTheme="minorHAnsi" w:hAnsiTheme="minorHAnsi" w:cstheme="minorBidi"/>
          <w:sz w:val="22"/>
          <w:szCs w:val="22"/>
        </w:rPr>
        <w:t>concept of “evidence” in medicine and to respond to perceived critiques of their practices’</w:t>
      </w:r>
      <w:r w:rsidRPr="090C4359" w:rsidR="00811451">
        <w:rPr>
          <w:rFonts w:asciiTheme="minorHAnsi" w:hAnsiTheme="minorHAnsi" w:cstheme="minorBidi"/>
          <w:sz w:val="22"/>
          <w:szCs w:val="22"/>
        </w:rPr>
        <w:t>.</w:t>
      </w:r>
      <w:r w:rsidRPr="090C4359" w:rsidR="00FF5ECE">
        <w:rPr>
          <w:rStyle w:val="FootnoteReference"/>
          <w:rFonts w:asciiTheme="minorHAnsi" w:hAnsiTheme="minorHAnsi" w:cstheme="minorBidi"/>
          <w:sz w:val="22"/>
          <w:szCs w:val="22"/>
        </w:rPr>
        <w:footnoteReference w:id="159"/>
      </w:r>
      <w:r w:rsidRPr="090C4359" w:rsidR="006D3C10">
        <w:rPr>
          <w:rFonts w:asciiTheme="minorHAnsi" w:hAnsiTheme="minorHAnsi" w:cstheme="minorBidi"/>
          <w:sz w:val="22"/>
          <w:szCs w:val="22"/>
        </w:rPr>
        <w:t xml:space="preserve"> </w:t>
      </w:r>
      <w:r w:rsidRPr="090C4359" w:rsidR="00F6316B">
        <w:rPr>
          <w:rFonts w:asciiTheme="minorHAnsi" w:hAnsiTheme="minorHAnsi" w:cstheme="minorBidi"/>
          <w:sz w:val="22"/>
          <w:szCs w:val="22"/>
        </w:rPr>
        <w:t xml:space="preserve">70% of </w:t>
      </w:r>
      <w:r w:rsidRPr="090C4359" w:rsidR="00F61778">
        <w:rPr>
          <w:rFonts w:asciiTheme="minorHAnsi" w:hAnsiTheme="minorHAnsi" w:cstheme="minorBidi"/>
          <w:sz w:val="22"/>
          <w:szCs w:val="22"/>
        </w:rPr>
        <w:t xml:space="preserve">the 90 </w:t>
      </w:r>
      <w:r w:rsidRPr="090C4359" w:rsidR="00F6316B">
        <w:rPr>
          <w:rFonts w:asciiTheme="minorHAnsi" w:hAnsiTheme="minorHAnsi" w:cstheme="minorBidi"/>
          <w:sz w:val="22"/>
          <w:szCs w:val="22"/>
        </w:rPr>
        <w:t>respond</w:t>
      </w:r>
      <w:r w:rsidRPr="090C4359" w:rsidR="00B02B23">
        <w:rPr>
          <w:rFonts w:asciiTheme="minorHAnsi" w:hAnsiTheme="minorHAnsi" w:cstheme="minorBidi"/>
          <w:sz w:val="22"/>
          <w:szCs w:val="22"/>
        </w:rPr>
        <w:t>e</w:t>
      </w:r>
      <w:r w:rsidRPr="090C4359" w:rsidR="00F6316B">
        <w:rPr>
          <w:rFonts w:asciiTheme="minorHAnsi" w:hAnsiTheme="minorHAnsi" w:cstheme="minorBidi"/>
          <w:sz w:val="22"/>
          <w:szCs w:val="22"/>
        </w:rPr>
        <w:t>nts</w:t>
      </w:r>
      <w:r w:rsidRPr="090C4359" w:rsidR="00B30969">
        <w:rPr>
          <w:rFonts w:asciiTheme="minorHAnsi" w:hAnsiTheme="minorHAnsi" w:cstheme="minorBidi"/>
          <w:sz w:val="22"/>
          <w:szCs w:val="22"/>
        </w:rPr>
        <w:t xml:space="preserve"> in their study</w:t>
      </w:r>
      <w:r w:rsidRPr="090C4359" w:rsidR="00F6316B">
        <w:rPr>
          <w:rFonts w:asciiTheme="minorHAnsi" w:hAnsiTheme="minorHAnsi" w:cstheme="minorBidi"/>
          <w:sz w:val="22"/>
          <w:szCs w:val="22"/>
        </w:rPr>
        <w:t xml:space="preserve"> who had spoken to their doctors about conflicting evidence </w:t>
      </w:r>
      <w:r w:rsidRPr="090C4359" w:rsidR="00CC2BFE">
        <w:rPr>
          <w:rFonts w:asciiTheme="minorHAnsi" w:hAnsiTheme="minorHAnsi" w:cstheme="minorBidi"/>
          <w:sz w:val="22"/>
          <w:szCs w:val="22"/>
        </w:rPr>
        <w:t xml:space="preserve">felt listened to, with doctors </w:t>
      </w:r>
      <w:r w:rsidRPr="090C4359" w:rsidR="000121DF">
        <w:rPr>
          <w:rFonts w:asciiTheme="minorHAnsi" w:hAnsiTheme="minorHAnsi" w:cstheme="minorBidi"/>
          <w:sz w:val="22"/>
          <w:szCs w:val="22"/>
        </w:rPr>
        <w:t>willingly answering questions, offering to do further research and affirming parent education.</w:t>
      </w:r>
      <w:r w:rsidRPr="090C4359" w:rsidR="00B30969">
        <w:rPr>
          <w:rFonts w:asciiTheme="minorHAnsi" w:hAnsiTheme="minorHAnsi" w:cstheme="minorBidi"/>
          <w:sz w:val="22"/>
          <w:szCs w:val="22"/>
        </w:rPr>
        <w:t xml:space="preserve"> However, some </w:t>
      </w:r>
      <w:r w:rsidRPr="090C4359" w:rsidR="006D3C10">
        <w:rPr>
          <w:rFonts w:asciiTheme="minorHAnsi" w:hAnsiTheme="minorHAnsi" w:cstheme="minorBidi"/>
          <w:sz w:val="22"/>
          <w:szCs w:val="22"/>
        </w:rPr>
        <w:t>described negative reactions, including</w:t>
      </w:r>
      <w:r w:rsidRPr="090C4359" w:rsidR="00CC274B">
        <w:rPr>
          <w:rFonts w:asciiTheme="minorHAnsi" w:hAnsiTheme="minorHAnsi" w:cstheme="minorBidi"/>
          <w:sz w:val="22"/>
          <w:szCs w:val="22"/>
        </w:rPr>
        <w:t xml:space="preserve"> healthcare professional</w:t>
      </w:r>
      <w:r w:rsidRPr="090C4359" w:rsidR="006D3C10">
        <w:rPr>
          <w:rFonts w:asciiTheme="minorHAnsi" w:hAnsiTheme="minorHAnsi" w:cstheme="minorBidi"/>
          <w:sz w:val="22"/>
          <w:szCs w:val="22"/>
        </w:rPr>
        <w:t xml:space="preserve"> avoidance and anger</w:t>
      </w:r>
      <w:r w:rsidRPr="090C4359" w:rsidR="003D722E">
        <w:rPr>
          <w:rFonts w:asciiTheme="minorHAnsi" w:hAnsiTheme="minorHAnsi" w:cstheme="minorBidi"/>
          <w:sz w:val="22"/>
          <w:szCs w:val="22"/>
        </w:rPr>
        <w:t>,</w:t>
      </w:r>
      <w:r w:rsidRPr="090C4359" w:rsidR="006D3C10">
        <w:rPr>
          <w:rFonts w:asciiTheme="minorHAnsi" w:hAnsiTheme="minorHAnsi" w:cstheme="minorBidi"/>
          <w:sz w:val="22"/>
          <w:szCs w:val="22"/>
        </w:rPr>
        <w:t xml:space="preserve"> which in the most extreme cases led the parents to transfer care</w:t>
      </w:r>
      <w:r w:rsidRPr="090C4359" w:rsidR="00CC274B">
        <w:rPr>
          <w:rFonts w:asciiTheme="minorHAnsi" w:hAnsiTheme="minorHAnsi" w:cstheme="minorBidi"/>
          <w:sz w:val="22"/>
          <w:szCs w:val="22"/>
        </w:rPr>
        <w:t>.</w:t>
      </w:r>
      <w:r w:rsidRPr="090C4359" w:rsidR="006D3C10">
        <w:rPr>
          <w:rFonts w:asciiTheme="minorHAnsi" w:hAnsiTheme="minorHAnsi" w:cstheme="minorBidi"/>
          <w:sz w:val="22"/>
          <w:szCs w:val="22"/>
        </w:rPr>
        <w:t xml:space="preserve"> </w:t>
      </w:r>
      <w:r w:rsidRPr="090C4359" w:rsidR="006D3C10">
        <w:rPr>
          <w:rStyle w:val="FootnoteReference"/>
          <w:rFonts w:asciiTheme="minorHAnsi" w:hAnsiTheme="minorHAnsi" w:cstheme="minorBidi"/>
          <w:sz w:val="22"/>
          <w:szCs w:val="22"/>
        </w:rPr>
        <w:footnoteReference w:id="160"/>
      </w:r>
      <w:r w:rsidRPr="090C4359" w:rsidR="002A5A90">
        <w:rPr>
          <w:rFonts w:asciiTheme="minorHAnsi" w:hAnsiTheme="minorHAnsi" w:cstheme="minorBidi"/>
        </w:rPr>
        <w:t xml:space="preserve"> </w:t>
      </w:r>
    </w:p>
    <w:p w:rsidR="000623CD" w:rsidP="002C0D15" w:rsidRDefault="000623CD" w14:paraId="7031E737" w14:textId="77777777">
      <w:pPr>
        <w:jc w:val="both"/>
        <w:rPr>
          <w:b/>
          <w:bCs/>
          <w:i/>
          <w:iCs/>
          <w:color w:val="002060"/>
          <w:sz w:val="24"/>
          <w:szCs w:val="24"/>
        </w:rPr>
      </w:pPr>
    </w:p>
    <w:p w:rsidRPr="008D1F3C" w:rsidR="00530D56" w:rsidP="008D1F3C" w:rsidRDefault="008F6BB8" w14:paraId="765DBB2D" w14:textId="55445D9F">
      <w:pPr>
        <w:jc w:val="both"/>
        <w:rPr>
          <w:i/>
          <w:iCs/>
          <w:color w:val="002060"/>
          <w:sz w:val="24"/>
          <w:szCs w:val="24"/>
        </w:rPr>
      </w:pPr>
      <w:r w:rsidRPr="00483FA6">
        <w:rPr>
          <w:i/>
          <w:iCs/>
          <w:color w:val="002060"/>
          <w:sz w:val="24"/>
          <w:szCs w:val="24"/>
        </w:rPr>
        <w:t xml:space="preserve">vii) Third-party involvement </w:t>
      </w:r>
    </w:p>
    <w:p w:rsidRPr="00C53DE0" w:rsidR="00AE448C" w:rsidP="00187EF1" w:rsidRDefault="00B2167A" w14:paraId="4F9C6EC2" w14:textId="5DDA2EBD">
      <w:pPr>
        <w:pStyle w:val="ListParagraph"/>
        <w:numPr>
          <w:ilvl w:val="0"/>
          <w:numId w:val="2"/>
        </w:numPr>
        <w:jc w:val="both"/>
      </w:pPr>
      <w:r w:rsidRPr="00C53DE0">
        <w:t>A</w:t>
      </w:r>
      <w:r w:rsidRPr="00C53DE0" w:rsidR="00D617D1">
        <w:t>side</w:t>
      </w:r>
      <w:r w:rsidRPr="00C53DE0">
        <w:t xml:space="preserve"> from the purpose of information gathering described in section vi), s</w:t>
      </w:r>
      <w:r w:rsidRPr="00C53DE0" w:rsidR="009A1082">
        <w:t xml:space="preserve">ocial media has continued to play </w:t>
      </w:r>
      <w:r w:rsidRPr="00C53DE0" w:rsidR="007A2322">
        <w:t xml:space="preserve">a further part in </w:t>
      </w:r>
      <w:r w:rsidRPr="00C53DE0" w:rsidR="009A1082">
        <w:t>the recent high-profile cases</w:t>
      </w:r>
      <w:r w:rsidRPr="00C53DE0" w:rsidR="00375380">
        <w:t xml:space="preserve"> –  </w:t>
      </w:r>
      <w:r w:rsidRPr="00C53DE0" w:rsidR="008630F9">
        <w:t xml:space="preserve">in </w:t>
      </w:r>
      <w:r w:rsidRPr="090C4359" w:rsidR="008C498A">
        <w:rPr>
          <w:i/>
          <w:iCs/>
        </w:rPr>
        <w:t>Raqeeb</w:t>
      </w:r>
      <w:r w:rsidRPr="00C53DE0" w:rsidR="008C498A">
        <w:t xml:space="preserve"> </w:t>
      </w:r>
      <w:r w:rsidRPr="00C53DE0" w:rsidR="008630F9">
        <w:t xml:space="preserve"> there was a </w:t>
      </w:r>
      <w:r w:rsidRPr="00C53DE0" w:rsidR="006C6C11">
        <w:t>social media awareness and fundraising campaign</w:t>
      </w:r>
      <w:r w:rsidRPr="00C53DE0" w:rsidR="009452B8">
        <w:t>,</w:t>
      </w:r>
      <w:r w:rsidRPr="00C53DE0" w:rsidR="00763FBA">
        <w:rPr>
          <w:rStyle w:val="FootnoteReference"/>
        </w:rPr>
        <w:footnoteReference w:id="161"/>
      </w:r>
      <w:r w:rsidRPr="00C53DE0" w:rsidR="009452B8">
        <w:t xml:space="preserve"> </w:t>
      </w:r>
      <w:r w:rsidRPr="00C53DE0" w:rsidR="001D5262">
        <w:t>whilst</w:t>
      </w:r>
      <w:r w:rsidRPr="00C53DE0" w:rsidR="00E01DE1">
        <w:t xml:space="preserve"> in</w:t>
      </w:r>
      <w:r w:rsidRPr="090C4359" w:rsidR="00E01DE1">
        <w:rPr>
          <w:i/>
          <w:iCs/>
        </w:rPr>
        <w:t xml:space="preserve"> Verden</w:t>
      </w:r>
      <w:r w:rsidRPr="090C4359" w:rsidR="001D5262">
        <w:rPr>
          <w:i/>
          <w:iCs/>
        </w:rPr>
        <w:t xml:space="preserve"> </w:t>
      </w:r>
      <w:r w:rsidRPr="090C4359" w:rsidR="001D5262">
        <w:t>Am</w:t>
      </w:r>
      <w:r w:rsidRPr="090C4359" w:rsidR="00E01DE1">
        <w:t>i</w:t>
      </w:r>
      <w:r w:rsidRPr="090C4359" w:rsidR="001D5262">
        <w:t xml:space="preserve"> </w:t>
      </w:r>
      <w:r w:rsidRPr="090C4359" w:rsidR="00E01DE1">
        <w:t xml:space="preserve">McLennan </w:t>
      </w:r>
      <w:r w:rsidRPr="090C4359" w:rsidR="001D5262">
        <w:t>had taken to social media in an attempt to secure a kidney donor</w:t>
      </w:r>
      <w:r w:rsidRPr="090C4359" w:rsidR="00E01DE1">
        <w:t xml:space="preserve"> for her son William</w:t>
      </w:r>
      <w:r w:rsidRPr="090C4359" w:rsidR="001D5262">
        <w:t>.</w:t>
      </w:r>
      <w:r w:rsidRPr="090C4359" w:rsidR="0054761C">
        <w:t xml:space="preserve"> In </w:t>
      </w:r>
      <w:r w:rsidRPr="090C4359" w:rsidR="0054761C">
        <w:rPr>
          <w:i/>
          <w:iCs/>
        </w:rPr>
        <w:t>Battersbee</w:t>
      </w:r>
      <w:r w:rsidRPr="090C4359" w:rsidR="0054761C">
        <w:t xml:space="preserve"> the parents organised a weekly online prayer vigil</w:t>
      </w:r>
      <w:r w:rsidRPr="090C4359" w:rsidR="00883AD6">
        <w:t xml:space="preserve">, </w:t>
      </w:r>
      <w:r w:rsidRPr="090C4359" w:rsidR="004A6DAB">
        <w:rPr>
          <w:rStyle w:val="FootnoteReference"/>
        </w:rPr>
        <w:footnoteReference w:id="162"/>
      </w:r>
      <w:r w:rsidRPr="090C4359" w:rsidR="001B0A86">
        <w:t xml:space="preserve"> </w:t>
      </w:r>
      <w:r w:rsidRPr="090C4359" w:rsidR="00883AD6">
        <w:t>whilst in</w:t>
      </w:r>
      <w:r w:rsidRPr="090C4359" w:rsidR="00593B01">
        <w:t xml:space="preserve"> </w:t>
      </w:r>
      <w:r w:rsidRPr="090C4359" w:rsidR="006C5057">
        <w:rPr>
          <w:i/>
          <w:iCs/>
        </w:rPr>
        <w:t>Fixsler</w:t>
      </w:r>
      <w:r w:rsidRPr="090C4359" w:rsidR="00C227F5">
        <w:t>, the publicity sought by the parents in order to highlight Alta’s “plight”</w:t>
      </w:r>
      <w:r w:rsidRPr="090C4359" w:rsidR="00345733">
        <w:t>,</w:t>
      </w:r>
      <w:r w:rsidRPr="090C4359" w:rsidR="001B0A86">
        <w:t xml:space="preserve"> </w:t>
      </w:r>
      <w:r w:rsidRPr="090C4359" w:rsidR="00143A3F">
        <w:t>‘</w:t>
      </w:r>
      <w:r w:rsidRPr="090C4359" w:rsidR="00472AD3">
        <w:t>attracted a significant amount of coverage and comment in the press and on social media, both domestically and in other jurisdictions.</w:t>
      </w:r>
      <w:r w:rsidRPr="090C4359" w:rsidR="00501133">
        <w:t>’</w:t>
      </w:r>
      <w:r w:rsidRPr="090C4359" w:rsidR="00883AD6">
        <w:rPr>
          <w:rStyle w:val="FootnoteReference"/>
        </w:rPr>
        <w:t xml:space="preserve"> </w:t>
      </w:r>
      <w:r w:rsidRPr="090C4359" w:rsidR="00883AD6">
        <w:rPr>
          <w:rStyle w:val="FootnoteReference"/>
        </w:rPr>
        <w:footnoteReference w:id="163"/>
      </w:r>
      <w:r w:rsidRPr="090C4359" w:rsidR="00883AD6">
        <w:t xml:space="preserve"> This</w:t>
      </w:r>
      <w:r w:rsidRPr="090C4359" w:rsidR="00501133">
        <w:t xml:space="preserve"> </w:t>
      </w:r>
      <w:r w:rsidRPr="090C4359" w:rsidR="00883AD6">
        <w:t>included</w:t>
      </w:r>
      <w:r w:rsidRPr="090C4359" w:rsidR="00F3170A">
        <w:t xml:space="preserve"> revealing the propo</w:t>
      </w:r>
      <w:r w:rsidRPr="090C4359" w:rsidR="001B0A86">
        <w:t>sed</w:t>
      </w:r>
      <w:r w:rsidRPr="090C4359" w:rsidR="00F3170A">
        <w:t xml:space="preserve"> h</w:t>
      </w:r>
      <w:r w:rsidRPr="090C4359" w:rsidR="001B0A86">
        <w:t>ome</w:t>
      </w:r>
      <w:r w:rsidRPr="090C4359" w:rsidR="00F3170A">
        <w:t xml:space="preserve"> location for the withdrawal of Alta’s treatment</w:t>
      </w:r>
      <w:r w:rsidRPr="090C4359" w:rsidR="00CE782B">
        <w:t xml:space="preserve">. </w:t>
      </w:r>
      <w:r w:rsidRPr="090C4359" w:rsidR="00F3170A">
        <w:t>Conseq</w:t>
      </w:r>
      <w:r w:rsidRPr="090C4359" w:rsidR="001B0A86">
        <w:t>uently</w:t>
      </w:r>
      <w:r w:rsidRPr="090C4359" w:rsidR="00602E3C">
        <w:t>,</w:t>
      </w:r>
      <w:r w:rsidRPr="090C4359" w:rsidR="00F3170A">
        <w:t xml:space="preserve"> the Trust expressed concern that Alta’s safety and security had been compromised</w:t>
      </w:r>
      <w:r w:rsidRPr="090C4359" w:rsidR="00FA6372">
        <w:t>,</w:t>
      </w:r>
      <w:r w:rsidRPr="090C4359" w:rsidR="00FA6372">
        <w:rPr>
          <w:rStyle w:val="FootnoteReference"/>
        </w:rPr>
        <w:footnoteReference w:id="164"/>
      </w:r>
      <w:r w:rsidRPr="090C4359" w:rsidR="00FA6372">
        <w:t xml:space="preserve"> leading the Court to reject “home” as a possible location for Alta’s death.</w:t>
      </w:r>
      <w:r w:rsidRPr="090C4359" w:rsidR="001B0A86">
        <w:t xml:space="preserve"> </w:t>
      </w:r>
      <w:r w:rsidRPr="090C4359" w:rsidR="00FB5FE5">
        <w:t xml:space="preserve"> </w:t>
      </w:r>
    </w:p>
    <w:p w:rsidRPr="00C53DE0" w:rsidR="00AE448C" w:rsidP="00AE448C" w:rsidRDefault="00AE448C" w14:paraId="3F51EFBA" w14:textId="77777777">
      <w:pPr>
        <w:pStyle w:val="ListParagraph"/>
        <w:rPr>
          <w:rFonts w:cstheme="minorHAnsi"/>
        </w:rPr>
      </w:pPr>
    </w:p>
    <w:p w:rsidRPr="00D85C18" w:rsidR="005110E3" w:rsidP="00187EF1" w:rsidRDefault="00AE448C" w14:paraId="1A26478A" w14:textId="389F9ED9">
      <w:pPr>
        <w:pStyle w:val="ListParagraph"/>
        <w:numPr>
          <w:ilvl w:val="0"/>
          <w:numId w:val="2"/>
        </w:numPr>
        <w:jc w:val="both"/>
      </w:pPr>
      <w:r w:rsidRPr="090C4359">
        <w:t>The use of social media can also have an impact on healthcare professionals</w:t>
      </w:r>
      <w:r w:rsidRPr="090C4359" w:rsidR="00272B59">
        <w:t xml:space="preserve"> and further exacerbate disagreement</w:t>
      </w:r>
      <w:r w:rsidRPr="090C4359" w:rsidR="00CE782B">
        <w:t xml:space="preserve">. </w:t>
      </w:r>
      <w:r w:rsidRPr="090C4359" w:rsidR="00FB5FE5">
        <w:t xml:space="preserve">Wallis notes that </w:t>
      </w:r>
      <w:r w:rsidRPr="090C4359" w:rsidR="00530D56">
        <w:t>‘[i]</w:t>
      </w:r>
      <w:r w:rsidRPr="090C4359" w:rsidR="00FB5FE5">
        <w:t>n today’s connected world, individual cases and their families can capture and dictate the social and established media news cycle in unpredictable ways. Opinion from the uninformed can be forcefully promulgated and fuel a maelstrom of anger, death threats and unreasonableness</w:t>
      </w:r>
      <w:r w:rsidRPr="090C4359" w:rsidR="007C1DC1">
        <w:t>’</w:t>
      </w:r>
      <w:r w:rsidRPr="090C4359" w:rsidR="00FB5FE5">
        <w:t>.</w:t>
      </w:r>
      <w:r w:rsidRPr="090C4359" w:rsidR="00530D56">
        <w:rPr>
          <w:rStyle w:val="FootnoteReference"/>
        </w:rPr>
        <w:footnoteReference w:id="165"/>
      </w:r>
      <w:r w:rsidRPr="00D85C18" w:rsidR="003067A1">
        <w:t xml:space="preserve"> Pearce reports that not only can healthcare professionals be subject to online abuse from </w:t>
      </w:r>
      <w:r w:rsidRPr="00D85C18" w:rsidR="000353DB">
        <w:t>members of the public,</w:t>
      </w:r>
      <w:r w:rsidRPr="00D85C18" w:rsidR="0042486F">
        <w:rPr>
          <w:rStyle w:val="FootnoteReference"/>
        </w:rPr>
        <w:t xml:space="preserve"> </w:t>
      </w:r>
      <w:r w:rsidRPr="00D85C18" w:rsidR="000353DB">
        <w:t xml:space="preserve">but also from within their profession, with accounts of nurses </w:t>
      </w:r>
      <w:r w:rsidRPr="00D85C18" w:rsidR="00155F58">
        <w:t xml:space="preserve">sharing social media stories or </w:t>
      </w:r>
      <w:r w:rsidRPr="00D85C18" w:rsidR="004E5A82">
        <w:t>online petitions</w:t>
      </w:r>
      <w:r w:rsidRPr="00D85C18" w:rsidR="000353DB">
        <w:t xml:space="preserve"> </w:t>
      </w:r>
      <w:r w:rsidRPr="00D85C18" w:rsidR="004E5A82">
        <w:t xml:space="preserve">calling for </w:t>
      </w:r>
      <w:r w:rsidRPr="00D85C18" w:rsidR="000353DB">
        <w:t>other nurses</w:t>
      </w:r>
      <w:r w:rsidRPr="00D85C18" w:rsidR="0069353C">
        <w:t xml:space="preserve"> </w:t>
      </w:r>
      <w:r w:rsidRPr="00D85C18" w:rsidR="000353DB">
        <w:t>to be ‘held to account’ for their</w:t>
      </w:r>
      <w:r w:rsidRPr="00D85C18" w:rsidR="00996A1B">
        <w:t xml:space="preserve"> perceived</w:t>
      </w:r>
      <w:r w:rsidRPr="00D85C18" w:rsidR="000353DB">
        <w:t xml:space="preserve"> </w:t>
      </w:r>
      <w:r w:rsidRPr="00D85C18" w:rsidR="00996A1B">
        <w:t>role in high-profile cases.</w:t>
      </w:r>
      <w:r w:rsidRPr="00D85C18" w:rsidR="006D5625">
        <w:rPr>
          <w:rStyle w:val="FootnoteReference"/>
        </w:rPr>
        <w:t xml:space="preserve"> </w:t>
      </w:r>
      <w:r w:rsidRPr="00D85C18" w:rsidR="006D5625">
        <w:rPr>
          <w:rStyle w:val="FootnoteReference"/>
        </w:rPr>
        <w:footnoteReference w:id="166"/>
      </w:r>
    </w:p>
    <w:p w:rsidRPr="00D85C18" w:rsidR="00F64E0A" w:rsidP="00F64E0A" w:rsidRDefault="00F64E0A" w14:paraId="100BBB59" w14:textId="77777777">
      <w:pPr>
        <w:pStyle w:val="ListParagraph"/>
        <w:jc w:val="both"/>
      </w:pPr>
    </w:p>
    <w:p w:rsidRPr="001F08BF" w:rsidR="00BB4D46" w:rsidP="00187EF1" w:rsidRDefault="00EC18A2" w14:paraId="07AFD1AC" w14:textId="30E4B798">
      <w:pPr>
        <w:pStyle w:val="Normal0"/>
        <w:numPr>
          <w:ilvl w:val="0"/>
          <w:numId w:val="2"/>
        </w:numPr>
        <w:jc w:val="both"/>
        <w:rPr>
          <w:rFonts w:asciiTheme="minorHAnsi" w:hAnsiTheme="minorHAnsi" w:cstheme="minorHAnsi"/>
          <w:sz w:val="22"/>
          <w:szCs w:val="22"/>
        </w:rPr>
      </w:pPr>
      <w:r w:rsidRPr="090C4359">
        <w:rPr>
          <w:rFonts w:asciiTheme="minorHAnsi" w:hAnsiTheme="minorHAnsi" w:cstheme="minorBidi"/>
          <w:sz w:val="22"/>
          <w:szCs w:val="22"/>
        </w:rPr>
        <w:t>Third</w:t>
      </w:r>
      <w:r w:rsidRPr="090C4359" w:rsidR="00E608D5">
        <w:rPr>
          <w:rFonts w:asciiTheme="minorHAnsi" w:hAnsiTheme="minorHAnsi" w:cstheme="minorBidi"/>
          <w:sz w:val="22"/>
          <w:szCs w:val="22"/>
        </w:rPr>
        <w:t>-</w:t>
      </w:r>
      <w:r w:rsidRPr="090C4359">
        <w:rPr>
          <w:rFonts w:asciiTheme="minorHAnsi" w:hAnsiTheme="minorHAnsi" w:cstheme="minorBidi"/>
          <w:sz w:val="22"/>
          <w:szCs w:val="22"/>
        </w:rPr>
        <w:t>party intervention</w:t>
      </w:r>
      <w:r w:rsidRPr="090C4359" w:rsidR="008B2C44">
        <w:rPr>
          <w:rFonts w:asciiTheme="minorHAnsi" w:hAnsiTheme="minorHAnsi" w:cstheme="minorBidi"/>
          <w:sz w:val="22"/>
          <w:szCs w:val="22"/>
        </w:rPr>
        <w:t xml:space="preserve"> also</w:t>
      </w:r>
      <w:r w:rsidRPr="090C4359" w:rsidR="003F2255">
        <w:rPr>
          <w:rFonts w:asciiTheme="minorHAnsi" w:hAnsiTheme="minorHAnsi" w:cstheme="minorBidi"/>
          <w:sz w:val="22"/>
          <w:szCs w:val="22"/>
        </w:rPr>
        <w:t xml:space="preserve"> continues to play a part in disagreement</w:t>
      </w:r>
      <w:r w:rsidRPr="090C4359" w:rsidR="0017727C">
        <w:rPr>
          <w:rFonts w:asciiTheme="minorHAnsi" w:hAnsiTheme="minorHAnsi" w:cstheme="minorBidi"/>
          <w:sz w:val="22"/>
          <w:szCs w:val="22"/>
        </w:rPr>
        <w:t>. In</w:t>
      </w:r>
      <w:r w:rsidRPr="090C4359" w:rsidR="00052CE5">
        <w:rPr>
          <w:rFonts w:asciiTheme="minorHAnsi" w:hAnsiTheme="minorHAnsi" w:cstheme="minorBidi"/>
          <w:i/>
          <w:iCs/>
          <w:sz w:val="22"/>
          <w:szCs w:val="22"/>
        </w:rPr>
        <w:t xml:space="preserve"> Fixsler</w:t>
      </w:r>
      <w:r w:rsidRPr="090C4359" w:rsidR="0017727C">
        <w:rPr>
          <w:rFonts w:asciiTheme="minorHAnsi" w:hAnsiTheme="minorHAnsi" w:cstheme="minorBidi"/>
          <w:sz w:val="22"/>
          <w:szCs w:val="22"/>
        </w:rPr>
        <w:t>, the parents</w:t>
      </w:r>
      <w:r w:rsidRPr="090C4359" w:rsidR="004B4454">
        <w:rPr>
          <w:rFonts w:asciiTheme="minorHAnsi" w:hAnsiTheme="minorHAnsi" w:cstheme="minorBidi"/>
          <w:sz w:val="22"/>
          <w:szCs w:val="22"/>
        </w:rPr>
        <w:t xml:space="preserve"> </w:t>
      </w:r>
      <w:r w:rsidRPr="090C4359" w:rsidR="0017727C">
        <w:rPr>
          <w:rFonts w:asciiTheme="minorHAnsi" w:hAnsiTheme="minorHAnsi" w:cstheme="minorBidi"/>
          <w:sz w:val="22"/>
          <w:szCs w:val="22"/>
        </w:rPr>
        <w:t xml:space="preserve">sought </w:t>
      </w:r>
      <w:r w:rsidRPr="090C4359" w:rsidR="004B4454">
        <w:rPr>
          <w:rFonts w:asciiTheme="minorHAnsi" w:hAnsiTheme="minorHAnsi" w:cstheme="minorBidi"/>
          <w:sz w:val="22"/>
          <w:szCs w:val="22"/>
        </w:rPr>
        <w:t>‘</w:t>
      </w:r>
      <w:r w:rsidRPr="090C4359" w:rsidR="0017727C">
        <w:rPr>
          <w:rFonts w:asciiTheme="minorHAnsi" w:hAnsiTheme="minorHAnsi" w:cstheme="minorBidi"/>
          <w:sz w:val="22"/>
          <w:szCs w:val="22"/>
        </w:rPr>
        <w:t>the intercession of politicians, religious leaders and Heads of State</w:t>
      </w:r>
      <w:r w:rsidRPr="090C4359" w:rsidR="00B65208">
        <w:rPr>
          <w:rFonts w:asciiTheme="minorHAnsi" w:hAnsiTheme="minorHAnsi" w:cstheme="minorBidi"/>
          <w:sz w:val="22"/>
          <w:szCs w:val="22"/>
        </w:rPr>
        <w:t>’</w:t>
      </w:r>
      <w:r w:rsidRPr="090C4359" w:rsidR="008B2C44">
        <w:rPr>
          <w:rFonts w:asciiTheme="minorHAnsi" w:hAnsiTheme="minorHAnsi" w:cstheme="minorBidi"/>
          <w:sz w:val="22"/>
          <w:szCs w:val="22"/>
        </w:rPr>
        <w:t>.</w:t>
      </w:r>
      <w:r w:rsidRPr="090C4359" w:rsidR="00B65208">
        <w:rPr>
          <w:rStyle w:val="FootnoteReference"/>
          <w:rFonts w:asciiTheme="minorHAnsi" w:hAnsiTheme="minorHAnsi" w:cstheme="minorBidi"/>
          <w:sz w:val="22"/>
          <w:szCs w:val="22"/>
        </w:rPr>
        <w:footnoteReference w:id="167"/>
      </w:r>
      <w:r w:rsidRPr="090C4359" w:rsidR="00B65208">
        <w:rPr>
          <w:rFonts w:asciiTheme="minorHAnsi" w:hAnsiTheme="minorHAnsi" w:cstheme="minorBidi"/>
          <w:sz w:val="22"/>
          <w:szCs w:val="22"/>
        </w:rPr>
        <w:t xml:space="preserve"> </w:t>
      </w:r>
      <w:r w:rsidRPr="090C4359" w:rsidR="008B2C44">
        <w:rPr>
          <w:rFonts w:asciiTheme="minorHAnsi" w:hAnsiTheme="minorHAnsi" w:cstheme="minorBidi"/>
          <w:sz w:val="22"/>
          <w:szCs w:val="22"/>
        </w:rPr>
        <w:t xml:space="preserve"> The literature has also drawn attention to the involvement</w:t>
      </w:r>
      <w:r w:rsidRPr="090C4359" w:rsidR="00512114">
        <w:rPr>
          <w:rFonts w:asciiTheme="minorHAnsi" w:hAnsiTheme="minorHAnsi" w:cstheme="minorBidi"/>
          <w:sz w:val="22"/>
          <w:szCs w:val="22"/>
        </w:rPr>
        <w:t xml:space="preserve"> of religious groups to provide legal advice and representation, such as the</w:t>
      </w:r>
      <w:r w:rsidRPr="090C4359" w:rsidR="00731633">
        <w:rPr>
          <w:rFonts w:asciiTheme="minorHAnsi" w:hAnsiTheme="minorHAnsi" w:cstheme="minorBidi"/>
          <w:sz w:val="22"/>
          <w:szCs w:val="22"/>
        </w:rPr>
        <w:t xml:space="preserve"> involvement of the</w:t>
      </w:r>
      <w:r w:rsidRPr="090C4359" w:rsidR="00512114">
        <w:rPr>
          <w:rFonts w:asciiTheme="minorHAnsi" w:hAnsiTheme="minorHAnsi" w:cstheme="minorBidi"/>
          <w:sz w:val="22"/>
          <w:szCs w:val="22"/>
        </w:rPr>
        <w:t xml:space="preserve"> </w:t>
      </w:r>
      <w:r w:rsidRPr="090C4359" w:rsidR="00052CE5">
        <w:rPr>
          <w:rFonts w:asciiTheme="minorHAnsi" w:hAnsiTheme="minorHAnsi" w:cstheme="minorBidi"/>
          <w:sz w:val="22"/>
          <w:szCs w:val="22"/>
        </w:rPr>
        <w:t>Christian Legal Centre</w:t>
      </w:r>
      <w:r w:rsidRPr="090C4359" w:rsidR="00566F90">
        <w:rPr>
          <w:rFonts w:asciiTheme="minorHAnsi" w:hAnsiTheme="minorHAnsi" w:cstheme="minorBidi"/>
          <w:sz w:val="22"/>
          <w:szCs w:val="22"/>
        </w:rPr>
        <w:t xml:space="preserve"> (CLC)</w:t>
      </w:r>
      <w:r w:rsidRPr="090C4359" w:rsidR="00731633">
        <w:rPr>
          <w:rFonts w:asciiTheme="minorHAnsi" w:hAnsiTheme="minorHAnsi" w:cstheme="minorBidi"/>
          <w:sz w:val="22"/>
          <w:szCs w:val="22"/>
        </w:rPr>
        <w:t xml:space="preserve"> in </w:t>
      </w:r>
      <w:r w:rsidRPr="090C4359" w:rsidR="00305D6A">
        <w:rPr>
          <w:rFonts w:asciiTheme="minorHAnsi" w:hAnsiTheme="minorHAnsi" w:cstheme="minorBidi"/>
          <w:i/>
          <w:iCs/>
          <w:sz w:val="22"/>
          <w:szCs w:val="22"/>
        </w:rPr>
        <w:t>Battersbee</w:t>
      </w:r>
      <w:r w:rsidRPr="090C4359" w:rsidR="00731633">
        <w:rPr>
          <w:rFonts w:asciiTheme="minorHAnsi" w:hAnsiTheme="minorHAnsi" w:cstheme="minorBidi"/>
          <w:sz w:val="22"/>
          <w:szCs w:val="22"/>
        </w:rPr>
        <w:t xml:space="preserve">. </w:t>
      </w:r>
      <w:r w:rsidRPr="090C4359" w:rsidR="000D3462">
        <w:rPr>
          <w:rFonts w:asciiTheme="minorHAnsi" w:hAnsiTheme="minorHAnsi" w:cstheme="minorBidi"/>
          <w:sz w:val="22"/>
          <w:szCs w:val="22"/>
        </w:rPr>
        <w:t xml:space="preserve">Mir </w:t>
      </w:r>
      <w:r w:rsidRPr="090C4359" w:rsidR="005C0AE3">
        <w:rPr>
          <w:rFonts w:asciiTheme="minorHAnsi" w:hAnsiTheme="minorHAnsi" w:cstheme="minorBidi"/>
          <w:sz w:val="22"/>
          <w:szCs w:val="22"/>
        </w:rPr>
        <w:t>characterises such involvement as a</w:t>
      </w:r>
      <w:r w:rsidRPr="090C4359" w:rsidR="000D3462">
        <w:rPr>
          <w:rFonts w:asciiTheme="minorHAnsi" w:hAnsiTheme="minorHAnsi" w:cstheme="minorBidi"/>
          <w:sz w:val="22"/>
          <w:szCs w:val="22"/>
        </w:rPr>
        <w:t xml:space="preserve"> </w:t>
      </w:r>
      <w:r w:rsidRPr="090C4359" w:rsidR="005C0AE3">
        <w:rPr>
          <w:rFonts w:asciiTheme="minorHAnsi" w:hAnsiTheme="minorHAnsi" w:cstheme="minorBidi"/>
          <w:sz w:val="22"/>
          <w:szCs w:val="22"/>
        </w:rPr>
        <w:t>‘</w:t>
      </w:r>
      <w:r w:rsidRPr="090C4359" w:rsidR="000D3462">
        <w:rPr>
          <w:rFonts w:asciiTheme="minorHAnsi" w:hAnsiTheme="minorHAnsi" w:cstheme="minorBidi"/>
          <w:sz w:val="22"/>
          <w:szCs w:val="22"/>
        </w:rPr>
        <w:t>discomforting face</w:t>
      </w:r>
      <w:r w:rsidRPr="090C4359" w:rsidR="005C0AE3">
        <w:rPr>
          <w:rFonts w:asciiTheme="minorHAnsi" w:hAnsiTheme="minorHAnsi" w:cstheme="minorBidi"/>
          <w:sz w:val="22"/>
          <w:szCs w:val="22"/>
        </w:rPr>
        <w:t xml:space="preserve">t’, </w:t>
      </w:r>
      <w:r w:rsidRPr="090C4359" w:rsidR="00694C63">
        <w:rPr>
          <w:rFonts w:asciiTheme="minorHAnsi" w:hAnsiTheme="minorHAnsi" w:cstheme="minorBidi"/>
          <w:sz w:val="22"/>
          <w:szCs w:val="22"/>
        </w:rPr>
        <w:t xml:space="preserve">noting </w:t>
      </w:r>
      <w:r w:rsidRPr="090C4359" w:rsidR="005C0AE3">
        <w:rPr>
          <w:rFonts w:asciiTheme="minorHAnsi" w:hAnsiTheme="minorHAnsi" w:cstheme="minorBidi"/>
          <w:sz w:val="22"/>
          <w:szCs w:val="22"/>
        </w:rPr>
        <w:t>while</w:t>
      </w:r>
      <w:r w:rsidRPr="090C4359" w:rsidR="000D3462">
        <w:rPr>
          <w:rFonts w:asciiTheme="minorHAnsi" w:hAnsiTheme="minorHAnsi" w:cstheme="minorBidi"/>
          <w:sz w:val="22"/>
          <w:szCs w:val="22"/>
        </w:rPr>
        <w:t xml:space="preserve"> </w:t>
      </w:r>
      <w:r w:rsidRPr="090C4359" w:rsidR="00694C63">
        <w:rPr>
          <w:rFonts w:asciiTheme="minorHAnsi" w:hAnsiTheme="minorHAnsi" w:cstheme="minorBidi"/>
          <w:sz w:val="22"/>
          <w:szCs w:val="22"/>
        </w:rPr>
        <w:t>such groups</w:t>
      </w:r>
      <w:r w:rsidRPr="090C4359" w:rsidR="005C0AE3">
        <w:rPr>
          <w:rFonts w:asciiTheme="minorHAnsi" w:hAnsiTheme="minorHAnsi" w:cstheme="minorBidi"/>
          <w:sz w:val="22"/>
          <w:szCs w:val="22"/>
        </w:rPr>
        <w:t xml:space="preserve"> ‘</w:t>
      </w:r>
      <w:r w:rsidRPr="090C4359" w:rsidR="000D3462">
        <w:rPr>
          <w:rFonts w:asciiTheme="minorHAnsi" w:hAnsiTheme="minorHAnsi" w:cstheme="minorBidi"/>
          <w:sz w:val="22"/>
          <w:szCs w:val="22"/>
        </w:rPr>
        <w:t>undeniably provide support to families,</w:t>
      </w:r>
      <w:r w:rsidRPr="090C4359" w:rsidR="00694C63">
        <w:rPr>
          <w:rFonts w:asciiTheme="minorHAnsi" w:hAnsiTheme="minorHAnsi" w:cstheme="minorBidi"/>
          <w:sz w:val="22"/>
          <w:szCs w:val="22"/>
        </w:rPr>
        <w:t xml:space="preserve"> (…)</w:t>
      </w:r>
      <w:r w:rsidRPr="090C4359" w:rsidR="000D3462">
        <w:rPr>
          <w:rFonts w:asciiTheme="minorHAnsi" w:hAnsiTheme="minorHAnsi" w:cstheme="minorBidi"/>
          <w:sz w:val="22"/>
          <w:szCs w:val="22"/>
        </w:rPr>
        <w:t xml:space="preserve"> may also serve to ferment division and mistrust in an already fragile and fraught situation.’</w:t>
      </w:r>
      <w:r w:rsidRPr="090C4359" w:rsidR="00E227A5">
        <w:rPr>
          <w:rStyle w:val="FootnoteReference"/>
          <w:rFonts w:asciiTheme="minorHAnsi" w:hAnsiTheme="minorHAnsi" w:cstheme="minorBidi"/>
          <w:sz w:val="22"/>
          <w:szCs w:val="22"/>
        </w:rPr>
        <w:footnoteReference w:id="168"/>
      </w:r>
      <w:r w:rsidRPr="090C4359" w:rsidR="00596D7F">
        <w:rPr>
          <w:rFonts w:asciiTheme="minorHAnsi" w:hAnsiTheme="minorHAnsi" w:cstheme="minorBidi"/>
          <w:sz w:val="22"/>
          <w:szCs w:val="22"/>
        </w:rPr>
        <w:t xml:space="preserve"> </w:t>
      </w:r>
      <w:r w:rsidRPr="090C4359" w:rsidR="004C3A03">
        <w:rPr>
          <w:rFonts w:asciiTheme="minorHAnsi" w:hAnsiTheme="minorHAnsi" w:cstheme="minorBidi"/>
          <w:sz w:val="22"/>
          <w:szCs w:val="22"/>
        </w:rPr>
        <w:t>Woolley expands on this ‘dis</w:t>
      </w:r>
      <w:r w:rsidRPr="090C4359" w:rsidR="00CF0583">
        <w:rPr>
          <w:rFonts w:asciiTheme="minorHAnsi" w:hAnsiTheme="minorHAnsi" w:cstheme="minorBidi"/>
          <w:sz w:val="22"/>
          <w:szCs w:val="22"/>
        </w:rPr>
        <w:t>comfort’</w:t>
      </w:r>
      <w:r w:rsidRPr="090C4359" w:rsidR="00566F90">
        <w:rPr>
          <w:rFonts w:asciiTheme="minorHAnsi" w:hAnsiTheme="minorHAnsi" w:cstheme="minorBidi"/>
          <w:sz w:val="22"/>
          <w:szCs w:val="22"/>
        </w:rPr>
        <w:t>,</w:t>
      </w:r>
      <w:r w:rsidRPr="090C4359" w:rsidR="00CF0583">
        <w:rPr>
          <w:rFonts w:asciiTheme="minorHAnsi" w:hAnsiTheme="minorHAnsi" w:cstheme="minorBidi"/>
          <w:sz w:val="22"/>
          <w:szCs w:val="22"/>
        </w:rPr>
        <w:t xml:space="preserve"> </w:t>
      </w:r>
      <w:r w:rsidRPr="090C4359" w:rsidR="00C25919">
        <w:rPr>
          <w:rFonts w:asciiTheme="minorHAnsi" w:hAnsiTheme="minorHAnsi" w:cstheme="minorBidi"/>
          <w:sz w:val="22"/>
          <w:szCs w:val="22"/>
        </w:rPr>
        <w:t>citing Wilkinson’s concerns that advice given by such organisation</w:t>
      </w:r>
      <w:r w:rsidRPr="090C4359" w:rsidR="00005C93">
        <w:rPr>
          <w:rFonts w:asciiTheme="minorHAnsi" w:hAnsiTheme="minorHAnsi" w:cstheme="minorBidi"/>
          <w:sz w:val="22"/>
          <w:szCs w:val="22"/>
        </w:rPr>
        <w:t>s</w:t>
      </w:r>
      <w:r w:rsidRPr="090C4359" w:rsidR="00C25919">
        <w:rPr>
          <w:rFonts w:asciiTheme="minorHAnsi" w:hAnsiTheme="minorHAnsi" w:cstheme="minorBidi"/>
          <w:sz w:val="22"/>
          <w:szCs w:val="22"/>
        </w:rPr>
        <w:t xml:space="preserve"> may </w:t>
      </w:r>
      <w:r w:rsidRPr="090C4359" w:rsidR="00005C93">
        <w:rPr>
          <w:rFonts w:asciiTheme="minorHAnsi" w:hAnsiTheme="minorHAnsi" w:cstheme="minorBidi"/>
          <w:sz w:val="22"/>
          <w:szCs w:val="22"/>
        </w:rPr>
        <w:t xml:space="preserve">not be accurate and that </w:t>
      </w:r>
      <w:r w:rsidRPr="090C4359" w:rsidR="0025623D">
        <w:rPr>
          <w:rFonts w:asciiTheme="minorHAnsi" w:hAnsiTheme="minorHAnsi" w:cstheme="minorBidi"/>
          <w:sz w:val="22"/>
          <w:szCs w:val="22"/>
        </w:rPr>
        <w:t>there is doubt that the CLC would have given Archie’s parents ‘a fair assessment of their chances’.</w:t>
      </w:r>
      <w:r w:rsidRPr="090C4359" w:rsidR="00566F90">
        <w:rPr>
          <w:rFonts w:asciiTheme="minorHAnsi" w:hAnsiTheme="minorHAnsi" w:cstheme="minorBidi"/>
          <w:sz w:val="22"/>
          <w:szCs w:val="22"/>
        </w:rPr>
        <w:t xml:space="preserve"> </w:t>
      </w:r>
      <w:r w:rsidRPr="090C4359" w:rsidR="0017067F">
        <w:rPr>
          <w:rFonts w:asciiTheme="minorHAnsi" w:hAnsiTheme="minorHAnsi" w:cstheme="minorBidi"/>
          <w:sz w:val="22"/>
          <w:szCs w:val="22"/>
        </w:rPr>
        <w:t xml:space="preserve">Additionally, Woolley </w:t>
      </w:r>
      <w:r w:rsidRPr="090C4359" w:rsidR="00972690">
        <w:rPr>
          <w:rFonts w:asciiTheme="minorHAnsi" w:hAnsiTheme="minorHAnsi" w:cstheme="minorBidi"/>
          <w:sz w:val="22"/>
          <w:szCs w:val="22"/>
        </w:rPr>
        <w:t xml:space="preserve">draws attention to the vulnerability of </w:t>
      </w:r>
      <w:r w:rsidRPr="090C4359" w:rsidR="006D210D">
        <w:rPr>
          <w:rFonts w:asciiTheme="minorHAnsi" w:hAnsiTheme="minorHAnsi" w:cstheme="minorBidi"/>
          <w:sz w:val="22"/>
          <w:szCs w:val="22"/>
        </w:rPr>
        <w:t>parents and</w:t>
      </w:r>
      <w:r w:rsidRPr="090C4359" w:rsidR="000B6674">
        <w:rPr>
          <w:rFonts w:asciiTheme="minorHAnsi" w:hAnsiTheme="minorHAnsi" w:cstheme="minorBidi"/>
          <w:sz w:val="22"/>
          <w:szCs w:val="22"/>
        </w:rPr>
        <w:t xml:space="preserve"> questions</w:t>
      </w:r>
      <w:r w:rsidRPr="090C4359" w:rsidR="006D210D">
        <w:rPr>
          <w:rFonts w:asciiTheme="minorHAnsi" w:hAnsiTheme="minorHAnsi" w:cstheme="minorBidi"/>
          <w:sz w:val="22"/>
          <w:szCs w:val="22"/>
        </w:rPr>
        <w:t xml:space="preserve"> whether such organisation</w:t>
      </w:r>
      <w:r w:rsidRPr="090C4359" w:rsidR="00871FC9">
        <w:rPr>
          <w:rFonts w:asciiTheme="minorHAnsi" w:hAnsiTheme="minorHAnsi" w:cstheme="minorBidi"/>
          <w:sz w:val="22"/>
          <w:szCs w:val="22"/>
        </w:rPr>
        <w:t xml:space="preserve">s </w:t>
      </w:r>
      <w:r w:rsidRPr="090C4359" w:rsidR="006D210D">
        <w:rPr>
          <w:rFonts w:asciiTheme="minorHAnsi" w:hAnsiTheme="minorHAnsi" w:cstheme="minorBidi"/>
          <w:sz w:val="22"/>
          <w:szCs w:val="22"/>
        </w:rPr>
        <w:t>‘prey’ on this</w:t>
      </w:r>
      <w:r w:rsidRPr="090C4359" w:rsidR="00871FC9">
        <w:rPr>
          <w:rFonts w:asciiTheme="minorHAnsi" w:hAnsiTheme="minorHAnsi" w:cstheme="minorBidi"/>
          <w:sz w:val="22"/>
          <w:szCs w:val="22"/>
        </w:rPr>
        <w:t>,</w:t>
      </w:r>
      <w:r w:rsidRPr="090C4359" w:rsidR="006D210D">
        <w:rPr>
          <w:rFonts w:asciiTheme="minorHAnsi" w:hAnsiTheme="minorHAnsi" w:cstheme="minorBidi"/>
          <w:sz w:val="22"/>
          <w:szCs w:val="22"/>
        </w:rPr>
        <w:t xml:space="preserve"> and seek to break down trust between families and healthcare professionals in order to</w:t>
      </w:r>
      <w:r w:rsidRPr="090C4359" w:rsidR="003904AB">
        <w:rPr>
          <w:rFonts w:asciiTheme="minorHAnsi" w:hAnsiTheme="minorHAnsi" w:cstheme="minorBidi"/>
          <w:sz w:val="22"/>
          <w:szCs w:val="22"/>
        </w:rPr>
        <w:t xml:space="preserve"> further</w:t>
      </w:r>
      <w:r w:rsidRPr="090C4359" w:rsidR="006D210D">
        <w:rPr>
          <w:rFonts w:asciiTheme="minorHAnsi" w:hAnsiTheme="minorHAnsi" w:cstheme="minorBidi"/>
          <w:sz w:val="22"/>
          <w:szCs w:val="22"/>
        </w:rPr>
        <w:t xml:space="preserve"> their own agendas.</w:t>
      </w:r>
      <w:r w:rsidRPr="090C4359" w:rsidR="003904AB">
        <w:rPr>
          <w:rStyle w:val="FootnoteReference"/>
          <w:rFonts w:asciiTheme="minorHAnsi" w:hAnsiTheme="minorHAnsi" w:cstheme="minorBidi"/>
          <w:sz w:val="22"/>
          <w:szCs w:val="22"/>
        </w:rPr>
        <w:footnoteReference w:id="169"/>
      </w:r>
      <w:r w:rsidRPr="090C4359" w:rsidR="006D210D">
        <w:rPr>
          <w:rFonts w:asciiTheme="minorHAnsi" w:hAnsiTheme="minorHAnsi" w:cstheme="minorBidi"/>
          <w:sz w:val="22"/>
          <w:szCs w:val="22"/>
        </w:rPr>
        <w:t xml:space="preserve"> </w:t>
      </w:r>
      <w:r w:rsidRPr="090C4359" w:rsidR="00305D6A">
        <w:rPr>
          <w:rFonts w:asciiTheme="minorHAnsi" w:hAnsiTheme="minorHAnsi" w:cstheme="minorBidi"/>
          <w:sz w:val="22"/>
          <w:szCs w:val="22"/>
        </w:rPr>
        <w:t xml:space="preserve">Some of the driving force behind parents </w:t>
      </w:r>
      <w:r w:rsidRPr="090C4359" w:rsidR="00DD0FC3">
        <w:rPr>
          <w:rFonts w:asciiTheme="minorHAnsi" w:hAnsiTheme="minorHAnsi" w:cstheme="minorBidi"/>
          <w:sz w:val="22"/>
          <w:szCs w:val="22"/>
        </w:rPr>
        <w:t>making such connections is likely to be the absence of legal aid funding for these court cases, and so the need to seek out pro-bono representation.</w:t>
      </w:r>
      <w:r w:rsidRPr="090C4359" w:rsidR="00E608D5">
        <w:rPr>
          <w:rFonts w:asciiTheme="minorHAnsi" w:hAnsiTheme="minorHAnsi" w:cstheme="minorBidi"/>
          <w:sz w:val="22"/>
          <w:szCs w:val="22"/>
        </w:rPr>
        <w:t xml:space="preserve"> Mir concludes that ‘[s]</w:t>
      </w:r>
      <w:r w:rsidRPr="090C4359" w:rsidR="00596D7F">
        <w:rPr>
          <w:rFonts w:asciiTheme="minorHAnsi" w:hAnsiTheme="minorHAnsi" w:cstheme="minorBidi"/>
          <w:sz w:val="22"/>
          <w:szCs w:val="22"/>
        </w:rPr>
        <w:t>erious consideration has to be given to what role, if any, third parties should play in discussions between families and clinicians going forward</w:t>
      </w:r>
      <w:r w:rsidRPr="090C4359" w:rsidR="00E608D5">
        <w:rPr>
          <w:rFonts w:asciiTheme="minorHAnsi" w:hAnsiTheme="minorHAnsi" w:cstheme="minorBidi"/>
          <w:sz w:val="22"/>
          <w:szCs w:val="22"/>
        </w:rPr>
        <w:t>.</w:t>
      </w:r>
      <w:r w:rsidRPr="090C4359" w:rsidR="000D3462">
        <w:rPr>
          <w:rStyle w:val="FootnoteReference"/>
          <w:rFonts w:asciiTheme="minorHAnsi" w:hAnsiTheme="minorHAnsi" w:cstheme="minorBidi"/>
          <w:sz w:val="22"/>
          <w:szCs w:val="22"/>
        </w:rPr>
        <w:footnoteReference w:id="170"/>
      </w:r>
    </w:p>
    <w:p w:rsidRPr="00415B55" w:rsidR="00415B55" w:rsidP="00C2577E" w:rsidRDefault="00C2577E" w14:paraId="56BF4779" w14:textId="455E78BF">
      <w:pPr>
        <w:tabs>
          <w:tab w:val="left" w:pos="2980"/>
          <w:tab w:val="left" w:pos="8030"/>
        </w:tabs>
        <w:jc w:val="both"/>
        <w:rPr>
          <w:sz w:val="24"/>
          <w:szCs w:val="24"/>
        </w:rPr>
      </w:pPr>
      <w:r>
        <w:rPr>
          <w:sz w:val="24"/>
          <w:szCs w:val="24"/>
        </w:rPr>
        <w:tab/>
      </w:r>
    </w:p>
    <w:p w:rsidRPr="007E63C8" w:rsidR="0088369D" w:rsidP="00215352" w:rsidRDefault="009D641F" w14:paraId="745CC781" w14:textId="68415629">
      <w:pPr>
        <w:jc w:val="both"/>
        <w:rPr>
          <w:i/>
          <w:iCs/>
          <w:color w:val="002060"/>
          <w:sz w:val="24"/>
          <w:szCs w:val="24"/>
        </w:rPr>
      </w:pPr>
      <w:r w:rsidRPr="007E63C8">
        <w:rPr>
          <w:i/>
          <w:iCs/>
          <w:color w:val="002060"/>
          <w:sz w:val="24"/>
          <w:szCs w:val="24"/>
        </w:rPr>
        <w:t>v</w:t>
      </w:r>
      <w:r w:rsidRPr="007E63C8" w:rsidR="009B5189">
        <w:rPr>
          <w:i/>
          <w:iCs/>
          <w:color w:val="002060"/>
          <w:sz w:val="24"/>
          <w:szCs w:val="24"/>
        </w:rPr>
        <w:t>i</w:t>
      </w:r>
      <w:r w:rsidRPr="007E63C8" w:rsidR="00823B07">
        <w:rPr>
          <w:i/>
          <w:iCs/>
          <w:color w:val="002060"/>
          <w:sz w:val="24"/>
          <w:szCs w:val="24"/>
        </w:rPr>
        <w:t>i</w:t>
      </w:r>
      <w:r w:rsidRPr="007E63C8" w:rsidR="00285091">
        <w:rPr>
          <w:i/>
          <w:iCs/>
          <w:color w:val="002060"/>
          <w:sz w:val="24"/>
          <w:szCs w:val="24"/>
        </w:rPr>
        <w:t>i</w:t>
      </w:r>
      <w:r w:rsidRPr="007E63C8">
        <w:rPr>
          <w:i/>
          <w:iCs/>
          <w:color w:val="002060"/>
          <w:sz w:val="24"/>
          <w:szCs w:val="24"/>
        </w:rPr>
        <w:t>)</w:t>
      </w:r>
      <w:r w:rsidR="00303A57">
        <w:rPr>
          <w:i/>
          <w:iCs/>
          <w:color w:val="002060"/>
          <w:sz w:val="24"/>
          <w:szCs w:val="24"/>
        </w:rPr>
        <w:t xml:space="preserve"> </w:t>
      </w:r>
      <w:r w:rsidRPr="007E63C8" w:rsidR="00D64D05">
        <w:rPr>
          <w:i/>
          <w:iCs/>
          <w:color w:val="002060"/>
          <w:sz w:val="24"/>
          <w:szCs w:val="24"/>
        </w:rPr>
        <w:t>Alternative</w:t>
      </w:r>
      <w:r w:rsidRPr="007E63C8" w:rsidR="001A0D59">
        <w:rPr>
          <w:i/>
          <w:iCs/>
          <w:color w:val="002060"/>
          <w:sz w:val="24"/>
          <w:szCs w:val="24"/>
        </w:rPr>
        <w:t xml:space="preserve"> </w:t>
      </w:r>
      <w:r w:rsidR="0071474F">
        <w:rPr>
          <w:i/>
          <w:iCs/>
          <w:color w:val="002060"/>
          <w:sz w:val="24"/>
          <w:szCs w:val="24"/>
        </w:rPr>
        <w:t>t</w:t>
      </w:r>
      <w:r w:rsidRPr="007E63C8" w:rsidR="001A0D59">
        <w:rPr>
          <w:i/>
          <w:iCs/>
          <w:color w:val="002060"/>
          <w:sz w:val="24"/>
          <w:szCs w:val="24"/>
        </w:rPr>
        <w:t>reatment and</w:t>
      </w:r>
      <w:r w:rsidRPr="007E63C8" w:rsidR="001E1A95">
        <w:rPr>
          <w:i/>
          <w:iCs/>
          <w:color w:val="002060"/>
          <w:sz w:val="24"/>
          <w:szCs w:val="24"/>
        </w:rPr>
        <w:t xml:space="preserve"> </w:t>
      </w:r>
      <w:r w:rsidR="0071474F">
        <w:rPr>
          <w:i/>
          <w:iCs/>
          <w:color w:val="002060"/>
          <w:sz w:val="24"/>
          <w:szCs w:val="24"/>
        </w:rPr>
        <w:t>m</w:t>
      </w:r>
      <w:r w:rsidRPr="007E63C8" w:rsidR="00937105">
        <w:rPr>
          <w:i/>
          <w:iCs/>
          <w:color w:val="002060"/>
          <w:sz w:val="24"/>
          <w:szCs w:val="24"/>
        </w:rPr>
        <w:t xml:space="preserve">edical </w:t>
      </w:r>
      <w:r w:rsidR="0071474F">
        <w:rPr>
          <w:i/>
          <w:iCs/>
          <w:color w:val="002060"/>
          <w:sz w:val="24"/>
          <w:szCs w:val="24"/>
        </w:rPr>
        <w:t>t</w:t>
      </w:r>
      <w:r w:rsidRPr="007E63C8" w:rsidR="00937105">
        <w:rPr>
          <w:i/>
          <w:iCs/>
          <w:color w:val="002060"/>
          <w:sz w:val="24"/>
          <w:szCs w:val="24"/>
        </w:rPr>
        <w:t>ourism</w:t>
      </w:r>
    </w:p>
    <w:p w:rsidRPr="009E52DD" w:rsidR="000B3543" w:rsidP="00187EF1" w:rsidRDefault="007D53E8" w14:paraId="21356D0A" w14:textId="3E7FA4F2">
      <w:pPr>
        <w:pStyle w:val="ListParagraph"/>
        <w:numPr>
          <w:ilvl w:val="0"/>
          <w:numId w:val="2"/>
        </w:numPr>
        <w:jc w:val="both"/>
        <w:rPr>
          <w:color w:val="000000"/>
        </w:rPr>
      </w:pPr>
      <w:r w:rsidRPr="009E52DD">
        <w:t xml:space="preserve">In the 2018 review </w:t>
      </w:r>
      <w:r w:rsidRPr="009E52DD" w:rsidR="0088369D">
        <w:t>Bhatia</w:t>
      </w:r>
      <w:r w:rsidRPr="009E52DD">
        <w:t xml:space="preserve"> </w:t>
      </w:r>
      <w:r w:rsidRPr="009E52DD" w:rsidR="0003539C">
        <w:t>examined</w:t>
      </w:r>
      <w:r w:rsidRPr="009E52DD">
        <w:t xml:space="preserve"> the crucial role</w:t>
      </w:r>
      <w:r w:rsidRPr="009E52DD" w:rsidR="00DE6BEE">
        <w:t xml:space="preserve"> in the high-profile cases</w:t>
      </w:r>
      <w:r w:rsidRPr="009E52DD" w:rsidR="00A750C4">
        <w:t xml:space="preserve">, such as </w:t>
      </w:r>
      <w:r w:rsidRPr="090C4359" w:rsidR="00A750C4">
        <w:rPr>
          <w:i/>
          <w:iCs/>
        </w:rPr>
        <w:t>Gard</w:t>
      </w:r>
      <w:r w:rsidRPr="009E52DD" w:rsidR="00A750C4">
        <w:t xml:space="preserve"> and </w:t>
      </w:r>
      <w:r w:rsidRPr="090C4359" w:rsidR="00A750C4">
        <w:rPr>
          <w:i/>
          <w:iCs/>
        </w:rPr>
        <w:t>Evans</w:t>
      </w:r>
      <w:r w:rsidRPr="009E52DD" w:rsidR="00A750C4">
        <w:t>,</w:t>
      </w:r>
      <w:r w:rsidRPr="009E52DD" w:rsidR="00DE6BEE">
        <w:t xml:space="preserve"> of disagreements</w:t>
      </w:r>
      <w:r w:rsidRPr="009E52DD" w:rsidR="00B15794">
        <w:t xml:space="preserve"> stemming from</w:t>
      </w:r>
      <w:r w:rsidRPr="009E52DD" w:rsidR="008A7A18">
        <w:t xml:space="preserve"> parents wishing to take their child abroad for</w:t>
      </w:r>
      <w:r w:rsidRPr="009E52DD" w:rsidR="00B15794">
        <w:t xml:space="preserve"> </w:t>
      </w:r>
      <w:r w:rsidRPr="009E52DD">
        <w:t>alternative</w:t>
      </w:r>
      <w:r w:rsidRPr="009E52DD" w:rsidR="00C84C35">
        <w:t>/experimental</w:t>
      </w:r>
      <w:r w:rsidRPr="009E52DD">
        <w:t xml:space="preserve"> treatments</w:t>
      </w:r>
      <w:r w:rsidRPr="009E52DD" w:rsidR="008A7A18">
        <w:t xml:space="preserve">, </w:t>
      </w:r>
      <w:r w:rsidRPr="009E52DD" w:rsidR="001A11F2">
        <w:t>and noted that such opportunities may both amp</w:t>
      </w:r>
      <w:r w:rsidR="005F5C50">
        <w:t>lify the</w:t>
      </w:r>
      <w:r w:rsidRPr="009E52DD" w:rsidR="001A11F2">
        <w:t xml:space="preserve"> hope</w:t>
      </w:r>
      <w:r w:rsidRPr="009E52DD" w:rsidR="00F2102A">
        <w:t>,</w:t>
      </w:r>
      <w:r w:rsidRPr="009E52DD" w:rsidR="001A11F2">
        <w:t xml:space="preserve"> but also </w:t>
      </w:r>
      <w:r w:rsidRPr="009E52DD" w:rsidR="00F2102A">
        <w:t>vulnerability,</w:t>
      </w:r>
      <w:r w:rsidRPr="009E52DD" w:rsidR="001A11F2">
        <w:t xml:space="preserve"> of parents seeking them.</w:t>
      </w:r>
      <w:r w:rsidRPr="009E52DD" w:rsidR="00680788">
        <w:rPr>
          <w:rStyle w:val="FootnoteReference"/>
        </w:rPr>
        <w:footnoteReference w:id="171"/>
      </w:r>
      <w:r w:rsidRPr="009E52DD" w:rsidR="00A750C4">
        <w:t xml:space="preserve"> </w:t>
      </w:r>
      <w:r w:rsidRPr="009E52DD" w:rsidR="004F06BE">
        <w:t xml:space="preserve"> Fovargue has examined</w:t>
      </w:r>
      <w:r w:rsidRPr="009E52DD" w:rsidR="001D7145">
        <w:t xml:space="preserve"> request</w:t>
      </w:r>
      <w:r w:rsidRPr="009E52DD" w:rsidR="00353139">
        <w:t>s</w:t>
      </w:r>
      <w:r w:rsidRPr="009E52DD" w:rsidR="001D7145">
        <w:t xml:space="preserve"> for experimental treatment and </w:t>
      </w:r>
      <w:r w:rsidRPr="009E52DD" w:rsidR="004D7F5A">
        <w:t>deems it right that the court be the arb</w:t>
      </w:r>
      <w:r w:rsidRPr="009E52DD" w:rsidR="00F8218E">
        <w:t>iter in such cases</w:t>
      </w:r>
      <w:r w:rsidRPr="009E52DD" w:rsidR="00353139">
        <w:t>. In disputes</w:t>
      </w:r>
      <w:r w:rsidRPr="009E52DD" w:rsidR="00017C3C">
        <w:t xml:space="preserve"> </w:t>
      </w:r>
      <w:r w:rsidRPr="009E52DD" w:rsidR="00353139">
        <w:t xml:space="preserve">about </w:t>
      </w:r>
      <w:r w:rsidRPr="009E52DD" w:rsidR="00017C3C">
        <w:t>“viable alternativ</w:t>
      </w:r>
      <w:r w:rsidRPr="009E52DD" w:rsidR="00B2671A">
        <w:t>es</w:t>
      </w:r>
      <w:r w:rsidR="00DF7D90">
        <w:t>”</w:t>
      </w:r>
      <w:r w:rsidRPr="009E52DD" w:rsidR="00B2671A">
        <w:t xml:space="preserve"> she contends that such a request should not </w:t>
      </w:r>
      <w:r w:rsidRPr="009E52DD" w:rsidR="009F708E">
        <w:t>automatically be seen as a ‘fair request’, but that the court must weigh up</w:t>
      </w:r>
      <w:r w:rsidRPr="009E52DD" w:rsidR="00716DE2">
        <w:t xml:space="preserve"> the benefits, burdens and risks, before considering if the proposal is in the best interests of the child.</w:t>
      </w:r>
      <w:r w:rsidRPr="009E52DD" w:rsidR="00716DE2">
        <w:rPr>
          <w:rStyle w:val="FootnoteReference"/>
        </w:rPr>
        <w:footnoteReference w:id="172"/>
      </w:r>
      <w:r w:rsidRPr="009E52DD" w:rsidR="009F708E">
        <w:t xml:space="preserve"> </w:t>
      </w:r>
      <w:r w:rsidRPr="009E52DD" w:rsidR="002613BC">
        <w:t>S</w:t>
      </w:r>
      <w:r w:rsidRPr="009E52DD" w:rsidR="00243E72">
        <w:t>ome of the recent cases</w:t>
      </w:r>
      <w:r w:rsidRPr="009E52DD" w:rsidR="002613BC">
        <w:t xml:space="preserve"> have also featured disagreeme</w:t>
      </w:r>
      <w:r w:rsidRPr="009E52DD" w:rsidR="00250131">
        <w:t>n</w:t>
      </w:r>
      <w:r w:rsidRPr="009E52DD" w:rsidR="002613BC">
        <w:t>t about whether a child should be</w:t>
      </w:r>
      <w:r w:rsidRPr="009E52DD" w:rsidR="0021032C">
        <w:t xml:space="preserve"> permitted to travel abroad for</w:t>
      </w:r>
      <w:r w:rsidR="00463326">
        <w:t xml:space="preserve"> continuation</w:t>
      </w:r>
      <w:r w:rsidR="0014596E">
        <w:t xml:space="preserve"> of</w:t>
      </w:r>
      <w:r w:rsidRPr="009E52DD" w:rsidR="0021032C">
        <w:t xml:space="preserve"> treatment that UK do</w:t>
      </w:r>
      <w:r w:rsidRPr="009E52DD" w:rsidR="00250131">
        <w:t>ctors do</w:t>
      </w:r>
      <w:r w:rsidRPr="009E52DD" w:rsidR="0021032C">
        <w:t xml:space="preserve"> not think is in her best interests.</w:t>
      </w:r>
      <w:r w:rsidRPr="009E52DD" w:rsidR="0021032C">
        <w:rPr>
          <w:rStyle w:val="FootnoteReference"/>
        </w:rPr>
        <w:footnoteReference w:id="173"/>
      </w:r>
      <w:r w:rsidRPr="009E52DD" w:rsidR="00F44103">
        <w:t xml:space="preserve"> </w:t>
      </w:r>
      <w:r w:rsidRPr="009E52DD" w:rsidR="00250131">
        <w:t xml:space="preserve">In </w:t>
      </w:r>
      <w:r w:rsidRPr="090C4359" w:rsidR="00F44103">
        <w:rPr>
          <w:i/>
          <w:iCs/>
        </w:rPr>
        <w:t>Raqeeb</w:t>
      </w:r>
      <w:r w:rsidRPr="009E52DD" w:rsidR="00F44103">
        <w:t xml:space="preserve"> and </w:t>
      </w:r>
      <w:r w:rsidRPr="090C4359" w:rsidR="00F44103">
        <w:rPr>
          <w:i/>
          <w:iCs/>
        </w:rPr>
        <w:t>Fixsler</w:t>
      </w:r>
      <w:r w:rsidRPr="009E52DD" w:rsidR="00F44103">
        <w:t>, the parents</w:t>
      </w:r>
      <w:r w:rsidRPr="009E52DD" w:rsidR="00250131">
        <w:t xml:space="preserve"> </w:t>
      </w:r>
      <w:r w:rsidRPr="009E52DD" w:rsidR="00F44103">
        <w:t>wanted to take their child abroad (to Italy and Israel respectively)</w:t>
      </w:r>
      <w:r w:rsidRPr="009E52DD" w:rsidR="00D60F5C">
        <w:t>, albeit for continuation of life support rather than novel treatment.</w:t>
      </w:r>
      <w:r w:rsidRPr="009E52DD" w:rsidR="00977EF3">
        <w:t xml:space="preserve"> In </w:t>
      </w:r>
      <w:r w:rsidRPr="090C4359" w:rsidR="00977EF3">
        <w:rPr>
          <w:i/>
          <w:iCs/>
        </w:rPr>
        <w:t>Raqeeb</w:t>
      </w:r>
      <w:r w:rsidRPr="009E52DD" w:rsidR="00977EF3">
        <w:t xml:space="preserve"> the court held that it was in Tafida’s best interests to be transferred to Italy,</w:t>
      </w:r>
      <w:r w:rsidRPr="009E52DD" w:rsidR="001876FE">
        <w:rPr>
          <w:rStyle w:val="FootnoteReference"/>
        </w:rPr>
        <w:footnoteReference w:id="174"/>
      </w:r>
      <w:r w:rsidRPr="009E52DD" w:rsidR="00977EF3">
        <w:t xml:space="preserve"> whereas </w:t>
      </w:r>
      <w:r w:rsidRPr="009E52DD" w:rsidR="00A17F83">
        <w:t>the court in</w:t>
      </w:r>
      <w:r w:rsidRPr="009E52DD" w:rsidR="00977EF3">
        <w:t xml:space="preserve"> </w:t>
      </w:r>
      <w:r w:rsidRPr="090C4359" w:rsidR="00977EF3">
        <w:rPr>
          <w:i/>
          <w:iCs/>
        </w:rPr>
        <w:t>Fixsler</w:t>
      </w:r>
      <w:r w:rsidRPr="009E52DD" w:rsidR="001876FE">
        <w:t xml:space="preserve"> </w:t>
      </w:r>
      <w:r w:rsidRPr="009E52DD" w:rsidR="00A17F83">
        <w:t>distinguished the parents</w:t>
      </w:r>
      <w:r w:rsidRPr="009E52DD" w:rsidR="001876FE">
        <w:t>’</w:t>
      </w:r>
      <w:r w:rsidRPr="009E52DD" w:rsidR="00A17F83">
        <w:t xml:space="preserve"> application from that of </w:t>
      </w:r>
      <w:r w:rsidRPr="090C4359" w:rsidR="00A17F83">
        <w:rPr>
          <w:i/>
          <w:iCs/>
        </w:rPr>
        <w:t>Raqeeb</w:t>
      </w:r>
      <w:r w:rsidRPr="009E52DD" w:rsidR="00271F97">
        <w:t xml:space="preserve"> given that the details of the proposed pl</w:t>
      </w:r>
      <w:r w:rsidRPr="009E52DD" w:rsidR="00CD177B">
        <w:t>an</w:t>
      </w:r>
      <w:r w:rsidRPr="009E52DD" w:rsidR="00271F97">
        <w:t xml:space="preserve"> were ‘unhelpfully sparse’</w:t>
      </w:r>
      <w:r w:rsidRPr="009E52DD" w:rsidR="00F3033F">
        <w:t>.</w:t>
      </w:r>
      <w:r w:rsidRPr="009E52DD" w:rsidR="00F3033F">
        <w:rPr>
          <w:rStyle w:val="FootnoteReference"/>
        </w:rPr>
        <w:footnoteReference w:id="175"/>
      </w:r>
      <w:r w:rsidRPr="009E52DD" w:rsidR="00977EF3">
        <w:t xml:space="preserve"> </w:t>
      </w:r>
      <w:r w:rsidRPr="009E52DD" w:rsidR="008C3DEA">
        <w:t>Yet the legal and ethical challenges of</w:t>
      </w:r>
      <w:r w:rsidRPr="009E52DD" w:rsidR="00CD177B">
        <w:t xml:space="preserve"> determining</w:t>
      </w:r>
      <w:r w:rsidRPr="009E52DD" w:rsidR="008C3DEA">
        <w:t xml:space="preserve"> when </w:t>
      </w:r>
      <w:r w:rsidRPr="009E52DD" w:rsidR="00143CA3">
        <w:t>such request</w:t>
      </w:r>
      <w:r w:rsidRPr="009E52DD" w:rsidR="00CD177B">
        <w:t>s</w:t>
      </w:r>
      <w:r w:rsidRPr="009E52DD" w:rsidR="00143CA3">
        <w:t xml:space="preserve"> will be deemed to be in the child’s best interests</w:t>
      </w:r>
      <w:r w:rsidRPr="009E52DD" w:rsidR="008C3DEA">
        <w:t xml:space="preserve"> has received </w:t>
      </w:r>
      <w:r w:rsidRPr="009E52DD" w:rsidR="00143CA3">
        <w:t>little</w:t>
      </w:r>
      <w:r w:rsidRPr="009E52DD" w:rsidR="002140FF">
        <w:t xml:space="preserve"> recent</w:t>
      </w:r>
      <w:r w:rsidRPr="009E52DD" w:rsidR="00143CA3">
        <w:t xml:space="preserve"> focus in the literature</w:t>
      </w:r>
      <w:r w:rsidRPr="009E52DD" w:rsidR="002140FF">
        <w:t>.</w:t>
      </w:r>
    </w:p>
    <w:p w:rsidRPr="007A368C" w:rsidR="007A368C" w:rsidP="007A368C" w:rsidRDefault="007A368C" w14:paraId="4768C24E" w14:textId="77777777">
      <w:pPr>
        <w:jc w:val="both"/>
        <w:rPr>
          <w:sz w:val="24"/>
          <w:szCs w:val="24"/>
        </w:rPr>
      </w:pPr>
    </w:p>
    <w:p w:rsidRPr="007B3F91" w:rsidR="009D28E1" w:rsidP="00215352" w:rsidRDefault="007A368C" w14:paraId="67F9CA96" w14:textId="6B86198E">
      <w:pPr>
        <w:jc w:val="both"/>
        <w:rPr>
          <w:i/>
          <w:iCs/>
          <w:color w:val="002060"/>
          <w:sz w:val="24"/>
          <w:szCs w:val="24"/>
        </w:rPr>
      </w:pPr>
      <w:r w:rsidRPr="007B3F91">
        <w:rPr>
          <w:i/>
          <w:iCs/>
          <w:color w:val="002060"/>
          <w:sz w:val="24"/>
          <w:szCs w:val="24"/>
        </w:rPr>
        <w:t>Summary</w:t>
      </w:r>
    </w:p>
    <w:p w:rsidRPr="00D85C18" w:rsidR="009E52DD" w:rsidP="00215352" w:rsidRDefault="00A70142" w14:paraId="3A34C7CD" w14:textId="6FE2A739">
      <w:pPr>
        <w:pStyle w:val="ListParagraph"/>
        <w:numPr>
          <w:ilvl w:val="0"/>
          <w:numId w:val="2"/>
        </w:numPr>
        <w:jc w:val="both"/>
      </w:pPr>
      <w:r>
        <w:t xml:space="preserve">In summary, </w:t>
      </w:r>
      <w:r w:rsidR="00173C1C">
        <w:t>eight causes or factors in disagreement have been identified in the literature</w:t>
      </w:r>
      <w:r w:rsidR="0021382A">
        <w:t>, matching a</w:t>
      </w:r>
      <w:r w:rsidR="00A25A35">
        <w:t xml:space="preserve">ppropriate </w:t>
      </w:r>
      <w:r w:rsidR="0021382A">
        <w:t xml:space="preserve">resolution </w:t>
      </w:r>
      <w:r w:rsidR="00A25A35">
        <w:t xml:space="preserve">mechanisms </w:t>
      </w:r>
      <w:r w:rsidR="0021382A">
        <w:t xml:space="preserve">with the </w:t>
      </w:r>
      <w:r w:rsidR="00A25A35">
        <w:t>severity of the dispute.</w:t>
      </w:r>
      <w:r w:rsidR="0021382A">
        <w:t xml:space="preserve"> </w:t>
      </w:r>
      <w:r w:rsidR="00A25A35">
        <w:t>Internal approaches are suitable for mild conflicts, with the literature outlining the merits of sensitive, well-timed communication and shared decision-making, situated within Conflict Management Frameworks including elements such as structured communication tools, managerial processes</w:t>
      </w:r>
      <w:r w:rsidR="00A40D7D">
        <w:t xml:space="preserve"> and </w:t>
      </w:r>
      <w:r w:rsidR="00A25A35">
        <w:t xml:space="preserve">psychologist involvement. Escalation to moderate disagreement may call for third-party intervention, but doubts are expressed in the literature of the effectiveness of the common </w:t>
      </w:r>
      <w:r w:rsidR="00A40D7D">
        <w:t xml:space="preserve">approach </w:t>
      </w:r>
      <w:r w:rsidR="00A25A35">
        <w:t xml:space="preserve">of seeking expert second opinion. The use of Clinical Ethics Committees is seen as more promising in bringing parties together, with even the potential for determinative decision-making, but a </w:t>
      </w:r>
      <w:r w:rsidR="00087DCA">
        <w:t>major</w:t>
      </w:r>
      <w:r w:rsidR="00A25A35">
        <w:t xml:space="preserve"> re-orientation of its role and remit would be required. Mediation has received s</w:t>
      </w:r>
      <w:r w:rsidR="00087DCA">
        <w:t>ustained</w:t>
      </w:r>
      <w:r w:rsidR="00A25A35">
        <w:t xml:space="preserve"> attention, with suggestions that its early use can be effective, although success may be limited where disagreements turn on religious beliefs or moral values. The strength of its voluntary nature is stressed, urging the avoidance of mandated participation. Legal resolution is generally needed in severe dispute and changes to the legal threshold for intervention f</w:t>
      </w:r>
      <w:r w:rsidR="000D5A01">
        <w:t>rom</w:t>
      </w:r>
      <w:r w:rsidR="00A25A35">
        <w:t xml:space="preserve"> best interests to significant harm has received substantial attention, with strongly made arguments on both sides, but no clear consensus</w:t>
      </w:r>
      <w:r w:rsidR="00211A9B">
        <w:t>.</w:t>
      </w:r>
      <w:r w:rsidR="00A25A35">
        <w:t xml:space="preserve"> Changes to the best interests test have also been advocated, along with alternative tests and court structures. Whilst there is recognition of the problematic aspects of court proceedings, the value of a transparent and robust legal process is also recognised.</w:t>
      </w:r>
    </w:p>
    <w:p w:rsidRPr="00B21400" w:rsidR="007E3668" w:rsidP="007E3668" w:rsidRDefault="007E3668" w14:paraId="1318A1B5" w14:textId="77777777">
      <w:pPr>
        <w:pStyle w:val="ListParagraph"/>
        <w:ind w:left="360"/>
        <w:jc w:val="both"/>
        <w:rPr>
          <w:color w:val="00B050"/>
        </w:rPr>
      </w:pPr>
    </w:p>
    <w:p w:rsidR="00EF638C" w:rsidP="00215352" w:rsidRDefault="00504474" w14:paraId="19C87C6B" w14:textId="16966840">
      <w:pPr>
        <w:jc w:val="both"/>
        <w:rPr>
          <w:b/>
          <w:bCs/>
          <w:color w:val="002060"/>
          <w:sz w:val="28"/>
          <w:szCs w:val="28"/>
          <w:u w:val="single"/>
        </w:rPr>
      </w:pPr>
      <w:r>
        <w:rPr>
          <w:b/>
          <w:bCs/>
          <w:color w:val="002060"/>
          <w:sz w:val="28"/>
          <w:szCs w:val="28"/>
          <w:u w:val="single"/>
        </w:rPr>
        <w:t>B: The Impact of Disagreement</w:t>
      </w:r>
    </w:p>
    <w:p w:rsidR="00EF638C" w:rsidP="090C4359" w:rsidRDefault="00EF638C" w14:paraId="65666CCA" w14:textId="0D3B7DC5">
      <w:pPr>
        <w:jc w:val="both"/>
        <w:rPr>
          <w:i/>
          <w:iCs/>
          <w:color w:val="002060"/>
          <w:sz w:val="24"/>
          <w:szCs w:val="24"/>
        </w:rPr>
      </w:pPr>
      <w:r w:rsidRPr="090C4359">
        <w:rPr>
          <w:i/>
          <w:iCs/>
          <w:color w:val="002060"/>
          <w:sz w:val="24"/>
          <w:szCs w:val="24"/>
        </w:rPr>
        <w:t xml:space="preserve">i) On the </w:t>
      </w:r>
      <w:r w:rsidRPr="090C4359" w:rsidR="0071474F">
        <w:rPr>
          <w:i/>
          <w:iCs/>
          <w:color w:val="002060"/>
          <w:sz w:val="24"/>
          <w:szCs w:val="24"/>
        </w:rPr>
        <w:t>c</w:t>
      </w:r>
      <w:r w:rsidRPr="090C4359">
        <w:rPr>
          <w:i/>
          <w:iCs/>
          <w:color w:val="002060"/>
          <w:sz w:val="24"/>
          <w:szCs w:val="24"/>
        </w:rPr>
        <w:t>hild</w:t>
      </w:r>
    </w:p>
    <w:p w:rsidRPr="009146CB" w:rsidR="00EF638C" w:rsidP="00187EF1" w:rsidRDefault="00EF638C" w14:paraId="256877EC" w14:textId="56A3CF0D">
      <w:pPr>
        <w:pStyle w:val="Normal0"/>
        <w:numPr>
          <w:ilvl w:val="0"/>
          <w:numId w:val="2"/>
        </w:numPr>
        <w:jc w:val="both"/>
        <w:rPr>
          <w:rFonts w:asciiTheme="minorHAnsi" w:hAnsiTheme="minorHAnsi" w:cstheme="minorHAnsi"/>
          <w:sz w:val="22"/>
          <w:szCs w:val="22"/>
        </w:rPr>
      </w:pPr>
      <w:r w:rsidRPr="090C4359">
        <w:rPr>
          <w:rFonts w:asciiTheme="minorHAnsi" w:hAnsiTheme="minorHAnsi" w:cstheme="minorBidi"/>
          <w:sz w:val="22"/>
          <w:szCs w:val="22"/>
        </w:rPr>
        <w:t>There is a noticeable lack of research on the impact of disagreement upon the child. This may be because in the high-profile cases in particular, either the child does not survive far beyond the end of the court proceedings, or they are not in a position of competence to form or share their views – as Macintosh and McConnell note, they are ‘beyond experience’.</w:t>
      </w:r>
      <w:r w:rsidRPr="090C4359">
        <w:rPr>
          <w:rStyle w:val="FootnoteReference"/>
          <w:rFonts w:asciiTheme="minorHAnsi" w:hAnsiTheme="minorHAnsi" w:cstheme="minorBidi"/>
          <w:sz w:val="22"/>
          <w:szCs w:val="22"/>
        </w:rPr>
        <w:footnoteReference w:id="176"/>
      </w:r>
      <w:r w:rsidRPr="090C4359">
        <w:rPr>
          <w:rFonts w:asciiTheme="minorHAnsi" w:hAnsiTheme="minorHAnsi" w:cstheme="minorBidi"/>
          <w:sz w:val="22"/>
          <w:szCs w:val="22"/>
        </w:rPr>
        <w:t xml:space="preserve"> There are also significant ethical and practical difficulties with undertaking research with critically-ill children, with Moore detailing the ‘enduring practical and methodological difficulties associated with filling this important gap in existing knowledge about what children value at the end of life.’</w:t>
      </w:r>
      <w:r w:rsidRPr="090C4359">
        <w:rPr>
          <w:rStyle w:val="FootnoteReference"/>
          <w:rFonts w:asciiTheme="minorHAnsi" w:hAnsiTheme="minorHAnsi" w:cstheme="minorBidi"/>
          <w:sz w:val="22"/>
          <w:szCs w:val="22"/>
        </w:rPr>
        <w:footnoteReference w:id="177"/>
      </w:r>
      <w:r w:rsidRPr="090C4359">
        <w:rPr>
          <w:rFonts w:asciiTheme="minorHAnsi" w:hAnsiTheme="minorHAnsi" w:cstheme="minorBidi"/>
          <w:sz w:val="22"/>
          <w:szCs w:val="22"/>
        </w:rPr>
        <w:t xml:space="preserve"> </w:t>
      </w:r>
    </w:p>
    <w:p w:rsidRPr="00A918FE" w:rsidR="00EF638C" w:rsidP="00EF638C" w:rsidRDefault="00EF638C" w14:paraId="33CD6550" w14:textId="77777777">
      <w:pPr>
        <w:pStyle w:val="Normal0"/>
        <w:ind w:left="720"/>
        <w:rPr>
          <w:rFonts w:asciiTheme="minorHAnsi" w:hAnsiTheme="minorHAnsi" w:cstheme="minorHAnsi"/>
          <w:sz w:val="22"/>
          <w:szCs w:val="22"/>
        </w:rPr>
      </w:pPr>
    </w:p>
    <w:p w:rsidRPr="00DA5F09" w:rsidR="00EF638C" w:rsidP="00187EF1" w:rsidRDefault="00E25FCD" w14:paraId="69B479F6" w14:textId="1C165E3E">
      <w:pPr>
        <w:pStyle w:val="Normal0"/>
        <w:numPr>
          <w:ilvl w:val="0"/>
          <w:numId w:val="2"/>
        </w:numPr>
        <w:jc w:val="both"/>
        <w:rPr>
          <w:rFonts w:asciiTheme="minorHAnsi" w:hAnsiTheme="minorHAnsi" w:cstheme="minorHAnsi"/>
          <w:sz w:val="22"/>
          <w:szCs w:val="22"/>
        </w:rPr>
      </w:pPr>
      <w:r w:rsidRPr="090C4359">
        <w:rPr>
          <w:rFonts w:asciiTheme="minorHAnsi" w:hAnsiTheme="minorHAnsi" w:cstheme="minorBidi"/>
          <w:sz w:val="22"/>
          <w:szCs w:val="22"/>
        </w:rPr>
        <w:t>Where literature does exist about the impact on the child</w:t>
      </w:r>
      <w:r w:rsidRPr="090C4359" w:rsidR="0048481D">
        <w:rPr>
          <w:rFonts w:asciiTheme="minorHAnsi" w:hAnsiTheme="minorHAnsi" w:cstheme="minorBidi"/>
          <w:sz w:val="22"/>
          <w:szCs w:val="22"/>
        </w:rPr>
        <w:t>, t</w:t>
      </w:r>
      <w:r w:rsidRPr="090C4359" w:rsidR="00EF638C">
        <w:rPr>
          <w:rFonts w:asciiTheme="minorHAnsi" w:hAnsiTheme="minorHAnsi" w:cstheme="minorBidi"/>
          <w:sz w:val="22"/>
          <w:szCs w:val="22"/>
        </w:rPr>
        <w:t>here are two main themes</w:t>
      </w:r>
      <w:r w:rsidRPr="090C4359" w:rsidR="0048481D">
        <w:rPr>
          <w:rFonts w:asciiTheme="minorHAnsi" w:hAnsiTheme="minorHAnsi" w:cstheme="minorBidi"/>
          <w:sz w:val="22"/>
          <w:szCs w:val="22"/>
        </w:rPr>
        <w:t xml:space="preserve"> that can be seen. </w:t>
      </w:r>
      <w:r w:rsidRPr="090C4359" w:rsidR="00EF638C">
        <w:rPr>
          <w:rFonts w:asciiTheme="minorHAnsi" w:hAnsiTheme="minorHAnsi" w:cstheme="minorBidi"/>
          <w:sz w:val="22"/>
          <w:szCs w:val="22"/>
        </w:rPr>
        <w:t>The most common</w:t>
      </w:r>
      <w:r w:rsidRPr="090C4359" w:rsidR="0048481D">
        <w:rPr>
          <w:rFonts w:asciiTheme="minorHAnsi" w:hAnsiTheme="minorHAnsi" w:cstheme="minorBidi"/>
          <w:sz w:val="22"/>
          <w:szCs w:val="22"/>
        </w:rPr>
        <w:t xml:space="preserve"> theme</w:t>
      </w:r>
      <w:r w:rsidRPr="090C4359" w:rsidR="00EF638C">
        <w:rPr>
          <w:rFonts w:asciiTheme="minorHAnsi" w:hAnsiTheme="minorHAnsi" w:cstheme="minorBidi"/>
          <w:sz w:val="22"/>
          <w:szCs w:val="22"/>
        </w:rPr>
        <w:t xml:space="preserve"> is the assumption that disagreements are damaging for the child,</w:t>
      </w:r>
      <w:r w:rsidRPr="090C4359" w:rsidR="00EF638C">
        <w:rPr>
          <w:rStyle w:val="FootnoteReference"/>
          <w:rFonts w:asciiTheme="minorHAnsi" w:hAnsiTheme="minorHAnsi" w:cstheme="minorBidi"/>
          <w:sz w:val="22"/>
          <w:szCs w:val="22"/>
        </w:rPr>
        <w:footnoteReference w:id="178"/>
      </w:r>
      <w:r w:rsidRPr="090C4359" w:rsidR="00EF638C">
        <w:rPr>
          <w:rFonts w:asciiTheme="minorHAnsi" w:hAnsiTheme="minorHAnsi" w:cstheme="minorBidi"/>
          <w:sz w:val="22"/>
          <w:szCs w:val="22"/>
        </w:rPr>
        <w:t xml:space="preserve"> </w:t>
      </w:r>
      <w:r w:rsidRPr="090C4359" w:rsidR="00E60D7B">
        <w:rPr>
          <w:rFonts w:asciiTheme="minorHAnsi" w:hAnsiTheme="minorHAnsi" w:cstheme="minorBidi"/>
          <w:sz w:val="22"/>
          <w:szCs w:val="22"/>
        </w:rPr>
        <w:t>largely due to</w:t>
      </w:r>
      <w:r w:rsidRPr="090C4359" w:rsidR="00EF638C">
        <w:rPr>
          <w:rFonts w:asciiTheme="minorHAnsi" w:hAnsiTheme="minorHAnsi" w:cstheme="minorBidi"/>
          <w:sz w:val="22"/>
          <w:szCs w:val="22"/>
        </w:rPr>
        <w:t xml:space="preserve"> the child </w:t>
      </w:r>
      <w:r w:rsidRPr="090C4359" w:rsidR="006A7D06">
        <w:rPr>
          <w:rFonts w:asciiTheme="minorHAnsi" w:hAnsiTheme="minorHAnsi" w:cstheme="minorBidi"/>
          <w:sz w:val="22"/>
          <w:szCs w:val="22"/>
        </w:rPr>
        <w:t>being</w:t>
      </w:r>
      <w:r w:rsidRPr="090C4359" w:rsidR="00EF638C">
        <w:rPr>
          <w:rFonts w:asciiTheme="minorHAnsi" w:hAnsiTheme="minorHAnsi" w:cstheme="minorBidi"/>
          <w:sz w:val="22"/>
          <w:szCs w:val="22"/>
        </w:rPr>
        <w:t xml:space="preserve"> exposed to lengthy and</w:t>
      </w:r>
      <w:r w:rsidRPr="090C4359" w:rsidR="00FA2EB4">
        <w:rPr>
          <w:rFonts w:asciiTheme="minorHAnsi" w:hAnsiTheme="minorHAnsi" w:cstheme="minorBidi"/>
          <w:sz w:val="22"/>
          <w:szCs w:val="22"/>
        </w:rPr>
        <w:t xml:space="preserve"> potentially</w:t>
      </w:r>
      <w:r w:rsidRPr="090C4359" w:rsidR="00EF638C">
        <w:rPr>
          <w:rFonts w:asciiTheme="minorHAnsi" w:hAnsiTheme="minorHAnsi" w:cstheme="minorBidi"/>
          <w:sz w:val="22"/>
          <w:szCs w:val="22"/>
        </w:rPr>
        <w:t xml:space="preserve"> burdensome treatment whilst the court case on-going. Bridgeman’s commentary on the </w:t>
      </w:r>
      <w:r w:rsidRPr="090C4359" w:rsidR="00EF638C">
        <w:rPr>
          <w:rFonts w:asciiTheme="minorHAnsi" w:hAnsiTheme="minorHAnsi" w:cstheme="minorBidi"/>
          <w:i/>
          <w:iCs/>
          <w:sz w:val="22"/>
          <w:szCs w:val="22"/>
        </w:rPr>
        <w:t>Gard</w:t>
      </w:r>
      <w:r w:rsidRPr="090C4359" w:rsidR="00EF638C">
        <w:rPr>
          <w:rFonts w:asciiTheme="minorHAnsi" w:hAnsiTheme="minorHAnsi" w:cstheme="minorBidi"/>
          <w:sz w:val="22"/>
          <w:szCs w:val="22"/>
        </w:rPr>
        <w:t xml:space="preserve"> case observed that despite fast-tracking, it still lasted for ﬁve months,</w:t>
      </w:r>
      <w:r w:rsidRPr="090C4359" w:rsidR="00EF638C">
        <w:rPr>
          <w:rStyle w:val="FootnoteReference"/>
          <w:rFonts w:asciiTheme="minorHAnsi" w:hAnsiTheme="minorHAnsi" w:cstheme="minorBidi"/>
          <w:sz w:val="22"/>
          <w:szCs w:val="22"/>
        </w:rPr>
        <w:footnoteReference w:id="179"/>
      </w:r>
      <w:r w:rsidRPr="090C4359" w:rsidR="00EF638C">
        <w:rPr>
          <w:rFonts w:asciiTheme="minorHAnsi" w:hAnsiTheme="minorHAnsi" w:cstheme="minorBidi"/>
          <w:sz w:val="22"/>
          <w:szCs w:val="22"/>
        </w:rPr>
        <w:t xml:space="preserve"> and Auckland and Goold posit that there is a contingent effect on the child of continued treatment that might not just be contrary to his best interests but may</w:t>
      </w:r>
      <w:r w:rsidRPr="090C4359" w:rsidR="00EF638C">
        <w:rPr>
          <w:rFonts w:asciiTheme="minorHAnsi" w:hAnsiTheme="minorHAnsi" w:cstheme="minorBidi"/>
        </w:rPr>
        <w:t xml:space="preserve"> </w:t>
      </w:r>
      <w:r w:rsidRPr="090C4359" w:rsidR="00EF638C">
        <w:rPr>
          <w:rFonts w:asciiTheme="minorHAnsi" w:hAnsiTheme="minorHAnsi" w:cstheme="minorBidi"/>
          <w:sz w:val="22"/>
          <w:szCs w:val="22"/>
        </w:rPr>
        <w:t>be also harmful.</w:t>
      </w:r>
      <w:r w:rsidRPr="090C4359" w:rsidR="00EF638C">
        <w:rPr>
          <w:rStyle w:val="FootnoteReference"/>
          <w:rFonts w:asciiTheme="minorHAnsi" w:hAnsiTheme="minorHAnsi" w:cstheme="minorBidi"/>
          <w:sz w:val="22"/>
          <w:szCs w:val="22"/>
        </w:rPr>
        <w:footnoteReference w:id="180"/>
      </w:r>
      <w:r w:rsidRPr="090C4359" w:rsidR="00EF638C">
        <w:rPr>
          <w:rFonts w:asciiTheme="minorHAnsi" w:hAnsiTheme="minorHAnsi" w:cstheme="minorBidi"/>
          <w:sz w:val="22"/>
          <w:szCs w:val="22"/>
        </w:rPr>
        <w:t xml:space="preserve"> This assumption is exemplified in Sokol’s commentary of </w:t>
      </w:r>
      <w:r w:rsidRPr="090C4359" w:rsidR="00EF638C">
        <w:rPr>
          <w:rFonts w:asciiTheme="minorHAnsi" w:hAnsiTheme="minorHAnsi" w:cstheme="minorBidi"/>
          <w:i/>
          <w:iCs/>
          <w:sz w:val="22"/>
          <w:szCs w:val="22"/>
        </w:rPr>
        <w:t>Battersbee</w:t>
      </w:r>
      <w:r w:rsidRPr="090C4359" w:rsidR="00EF638C">
        <w:rPr>
          <w:rFonts w:asciiTheme="minorHAnsi" w:hAnsiTheme="minorHAnsi" w:cstheme="minorBidi"/>
          <w:sz w:val="22"/>
          <w:szCs w:val="22"/>
        </w:rPr>
        <w:t xml:space="preserve"> when he claims that ‘(…)Archie’s death was drawn out by weeks. Surely no one would want to survive in that condition, awkwardly balancing between the world of the living and the dead with no chance of survival? It was a tragic situation made worse.’</w:t>
      </w:r>
      <w:r w:rsidRPr="090C4359" w:rsidR="00EF638C">
        <w:rPr>
          <w:rStyle w:val="FootnoteReference"/>
          <w:rFonts w:asciiTheme="minorHAnsi" w:hAnsiTheme="minorHAnsi" w:cstheme="minorBidi"/>
          <w:sz w:val="22"/>
          <w:szCs w:val="22"/>
        </w:rPr>
        <w:footnoteReference w:id="181"/>
      </w:r>
    </w:p>
    <w:p w:rsidRPr="00DA5F09" w:rsidR="00EF638C" w:rsidP="00EF638C" w:rsidRDefault="00EF638C" w14:paraId="4BB7D2A5" w14:textId="77777777">
      <w:pPr>
        <w:pStyle w:val="ListParagraph"/>
        <w:rPr>
          <w:rFonts w:cstheme="minorHAnsi"/>
        </w:rPr>
      </w:pPr>
    </w:p>
    <w:p w:rsidRPr="009F7EBF" w:rsidR="00EF638C" w:rsidP="003768ED" w:rsidRDefault="00F52A1B" w14:paraId="6618DC94" w14:textId="42540DA3">
      <w:pPr>
        <w:pStyle w:val="Normal0"/>
        <w:numPr>
          <w:ilvl w:val="0"/>
          <w:numId w:val="2"/>
        </w:numPr>
        <w:jc w:val="both"/>
        <w:rPr>
          <w:rFonts w:asciiTheme="minorHAnsi" w:hAnsiTheme="minorHAnsi" w:cstheme="minorHAnsi"/>
          <w:sz w:val="22"/>
          <w:szCs w:val="22"/>
        </w:rPr>
      </w:pPr>
      <w:r w:rsidRPr="090C4359">
        <w:rPr>
          <w:rFonts w:asciiTheme="minorHAnsi" w:hAnsiTheme="minorHAnsi" w:cstheme="minorBidi"/>
          <w:sz w:val="22"/>
          <w:szCs w:val="22"/>
        </w:rPr>
        <w:t xml:space="preserve">In </w:t>
      </w:r>
      <w:r w:rsidRPr="090C4359" w:rsidR="00EF638C">
        <w:rPr>
          <w:rFonts w:asciiTheme="minorHAnsi" w:hAnsiTheme="minorHAnsi" w:cstheme="minorBidi"/>
          <w:sz w:val="22"/>
          <w:szCs w:val="22"/>
        </w:rPr>
        <w:t>the same vein</w:t>
      </w:r>
      <w:r w:rsidRPr="090C4359" w:rsidR="00082DBC">
        <w:rPr>
          <w:rFonts w:asciiTheme="minorHAnsi" w:hAnsiTheme="minorHAnsi" w:cstheme="minorBidi"/>
          <w:sz w:val="22"/>
          <w:szCs w:val="22"/>
        </w:rPr>
        <w:t xml:space="preserve">, </w:t>
      </w:r>
      <w:r w:rsidRPr="090C4359" w:rsidR="00EF638C">
        <w:rPr>
          <w:rFonts w:asciiTheme="minorHAnsi" w:hAnsiTheme="minorHAnsi" w:cstheme="minorBidi"/>
          <w:sz w:val="22"/>
          <w:szCs w:val="22"/>
        </w:rPr>
        <w:t>but framed in a more nuanced and potentially more ethically challenging way given the taboos around child death</w:t>
      </w:r>
      <w:r w:rsidRPr="090C4359" w:rsidR="00C609DC">
        <w:rPr>
          <w:rFonts w:asciiTheme="minorHAnsi" w:hAnsiTheme="minorHAnsi" w:cstheme="minorBidi"/>
          <w:sz w:val="22"/>
          <w:szCs w:val="22"/>
        </w:rPr>
        <w:t>, the second theme is Moore</w:t>
      </w:r>
      <w:r w:rsidRPr="090C4359" w:rsidR="00E733C1">
        <w:rPr>
          <w:rFonts w:asciiTheme="minorHAnsi" w:hAnsiTheme="minorHAnsi" w:cstheme="minorBidi"/>
          <w:sz w:val="22"/>
          <w:szCs w:val="22"/>
        </w:rPr>
        <w:t>’s claim that</w:t>
      </w:r>
      <w:r w:rsidRPr="090C4359" w:rsidR="00EF638C">
        <w:rPr>
          <w:rFonts w:asciiTheme="minorHAnsi" w:hAnsiTheme="minorHAnsi" w:cstheme="minorBidi"/>
          <w:sz w:val="22"/>
          <w:szCs w:val="22"/>
        </w:rPr>
        <w:t xml:space="preserve"> there is little consideration of the fact that the child might actually welcome death</w:t>
      </w:r>
      <w:r w:rsidRPr="090C4359" w:rsidR="00E733C1">
        <w:rPr>
          <w:rFonts w:asciiTheme="minorHAnsi" w:hAnsiTheme="minorHAnsi" w:cstheme="minorBidi"/>
          <w:sz w:val="22"/>
          <w:szCs w:val="22"/>
        </w:rPr>
        <w:t>.</w:t>
      </w:r>
      <w:r w:rsidRPr="090C4359" w:rsidR="000D0253">
        <w:rPr>
          <w:rFonts w:asciiTheme="minorHAnsi" w:hAnsiTheme="minorHAnsi" w:cstheme="minorBidi"/>
          <w:sz w:val="22"/>
          <w:szCs w:val="22"/>
        </w:rPr>
        <w:t xml:space="preserve"> This may be</w:t>
      </w:r>
      <w:r w:rsidRPr="090C4359" w:rsidR="00EF638C">
        <w:rPr>
          <w:rFonts w:asciiTheme="minorHAnsi" w:hAnsiTheme="minorHAnsi" w:cstheme="minorBidi"/>
          <w:sz w:val="22"/>
          <w:szCs w:val="22"/>
        </w:rPr>
        <w:t xml:space="preserve"> particularly</w:t>
      </w:r>
      <w:r w:rsidRPr="090C4359" w:rsidR="000D0253">
        <w:rPr>
          <w:rFonts w:asciiTheme="minorHAnsi" w:hAnsiTheme="minorHAnsi" w:cstheme="minorBidi"/>
          <w:sz w:val="22"/>
          <w:szCs w:val="22"/>
        </w:rPr>
        <w:t xml:space="preserve"> </w:t>
      </w:r>
      <w:r w:rsidRPr="090C4359" w:rsidR="00EF638C">
        <w:rPr>
          <w:rFonts w:asciiTheme="minorHAnsi" w:hAnsiTheme="minorHAnsi" w:cstheme="minorBidi"/>
          <w:sz w:val="22"/>
          <w:szCs w:val="22"/>
        </w:rPr>
        <w:t xml:space="preserve"> </w:t>
      </w:r>
      <w:r w:rsidRPr="090C4359" w:rsidR="000D0253">
        <w:rPr>
          <w:rFonts w:asciiTheme="minorHAnsi" w:hAnsiTheme="minorHAnsi" w:cstheme="minorBidi"/>
          <w:sz w:val="22"/>
          <w:szCs w:val="22"/>
        </w:rPr>
        <w:t xml:space="preserve">so </w:t>
      </w:r>
      <w:r w:rsidRPr="090C4359" w:rsidR="00EF638C">
        <w:rPr>
          <w:rFonts w:asciiTheme="minorHAnsi" w:hAnsiTheme="minorHAnsi" w:cstheme="minorBidi"/>
          <w:sz w:val="22"/>
          <w:szCs w:val="22"/>
        </w:rPr>
        <w:t>if</w:t>
      </w:r>
      <w:r w:rsidRPr="090C4359" w:rsidR="000D0253">
        <w:rPr>
          <w:rFonts w:asciiTheme="minorHAnsi" w:hAnsiTheme="minorHAnsi" w:cstheme="minorBidi"/>
          <w:sz w:val="22"/>
          <w:szCs w:val="22"/>
        </w:rPr>
        <w:t xml:space="preserve"> the child is</w:t>
      </w:r>
      <w:r w:rsidRPr="090C4359" w:rsidR="00EF638C">
        <w:rPr>
          <w:rFonts w:asciiTheme="minorHAnsi" w:hAnsiTheme="minorHAnsi" w:cstheme="minorBidi"/>
          <w:sz w:val="22"/>
          <w:szCs w:val="22"/>
        </w:rPr>
        <w:t xml:space="preserve"> sentient or conscious</w:t>
      </w:r>
      <w:r w:rsidRPr="090C4359" w:rsidR="002A663F">
        <w:rPr>
          <w:rFonts w:asciiTheme="minorHAnsi" w:hAnsiTheme="minorHAnsi" w:cstheme="minorBidi"/>
          <w:sz w:val="22"/>
          <w:szCs w:val="22"/>
        </w:rPr>
        <w:t>,</w:t>
      </w:r>
      <w:r w:rsidRPr="090C4359" w:rsidR="00EF638C">
        <w:rPr>
          <w:rFonts w:asciiTheme="minorHAnsi" w:hAnsiTheme="minorHAnsi" w:cstheme="minorBidi"/>
          <w:sz w:val="22"/>
          <w:szCs w:val="22"/>
        </w:rPr>
        <w:t xml:space="preserve"> – either as a form of relief from suffering, or in terms of a reconciliation with the reality that their life is coming to an end and death is preferable to continued life.</w:t>
      </w:r>
      <w:r w:rsidRPr="090C4359" w:rsidR="00EF638C">
        <w:rPr>
          <w:rStyle w:val="FootnoteReference"/>
          <w:rFonts w:asciiTheme="minorHAnsi" w:hAnsiTheme="minorHAnsi" w:cstheme="minorBidi"/>
          <w:sz w:val="22"/>
          <w:szCs w:val="22"/>
        </w:rPr>
        <w:footnoteReference w:id="182"/>
      </w:r>
      <w:r w:rsidRPr="090C4359" w:rsidR="00EF638C">
        <w:rPr>
          <w:rFonts w:asciiTheme="minorHAnsi" w:hAnsiTheme="minorHAnsi" w:cstheme="minorBidi"/>
          <w:sz w:val="22"/>
          <w:szCs w:val="22"/>
        </w:rPr>
        <w:t xml:space="preserve"> This is emblematic of the avoidance of the notion of the “</w:t>
      </w:r>
      <w:r w:rsidRPr="090C4359" w:rsidR="00082DBC">
        <w:rPr>
          <w:rFonts w:asciiTheme="minorHAnsi" w:hAnsiTheme="minorHAnsi" w:cstheme="minorBidi"/>
          <w:sz w:val="22"/>
          <w:szCs w:val="22"/>
        </w:rPr>
        <w:t>g</w:t>
      </w:r>
      <w:r w:rsidRPr="090C4359" w:rsidR="00EF638C">
        <w:rPr>
          <w:rFonts w:asciiTheme="minorHAnsi" w:hAnsiTheme="minorHAnsi" w:cstheme="minorBidi"/>
          <w:sz w:val="22"/>
          <w:szCs w:val="22"/>
        </w:rPr>
        <w:t xml:space="preserve">ood </w:t>
      </w:r>
      <w:r w:rsidRPr="090C4359" w:rsidR="00082DBC">
        <w:rPr>
          <w:rFonts w:asciiTheme="minorHAnsi" w:hAnsiTheme="minorHAnsi" w:cstheme="minorBidi"/>
          <w:sz w:val="22"/>
          <w:szCs w:val="22"/>
        </w:rPr>
        <w:t>d</w:t>
      </w:r>
      <w:r w:rsidRPr="090C4359" w:rsidR="00EF638C">
        <w:rPr>
          <w:rFonts w:asciiTheme="minorHAnsi" w:hAnsiTheme="minorHAnsi" w:cstheme="minorBidi"/>
          <w:sz w:val="22"/>
          <w:szCs w:val="22"/>
        </w:rPr>
        <w:t>eath” for a child, as discussed in the Causes section above</w:t>
      </w:r>
      <w:r w:rsidRPr="009F7EBF" w:rsidR="00EF638C">
        <w:rPr>
          <w:rFonts w:ascii="Segoe UI" w:hAnsi="Segoe UI" w:cs="Segoe UI"/>
          <w:sz w:val="22"/>
          <w:szCs w:val="22"/>
        </w:rPr>
        <w:t>.</w:t>
      </w:r>
      <w:r w:rsidRPr="090C4359" w:rsidR="00EF638C">
        <w:rPr>
          <w:rFonts w:asciiTheme="minorHAnsi" w:hAnsiTheme="minorHAnsi" w:cstheme="minorBidi"/>
          <w:sz w:val="22"/>
          <w:szCs w:val="22"/>
        </w:rPr>
        <w:t xml:space="preserve"> </w:t>
      </w:r>
    </w:p>
    <w:p w:rsidR="00EF638C" w:rsidP="00215352" w:rsidRDefault="00EF638C" w14:paraId="00C374DA" w14:textId="77777777">
      <w:pPr>
        <w:jc w:val="both"/>
        <w:rPr>
          <w:b/>
          <w:bCs/>
          <w:color w:val="002060"/>
          <w:sz w:val="28"/>
          <w:szCs w:val="28"/>
          <w:u w:val="single"/>
        </w:rPr>
      </w:pPr>
    </w:p>
    <w:p w:rsidRPr="00E43E13" w:rsidR="00E97856" w:rsidP="00E43E13" w:rsidRDefault="00E43E13" w14:paraId="5D4131FD" w14:textId="6CDAABE6">
      <w:pPr>
        <w:jc w:val="both"/>
        <w:rPr>
          <w:i/>
          <w:iCs/>
          <w:color w:val="002060"/>
          <w:sz w:val="24"/>
          <w:szCs w:val="24"/>
        </w:rPr>
      </w:pPr>
      <w:r>
        <w:rPr>
          <w:i/>
          <w:iCs/>
          <w:color w:val="002060"/>
          <w:sz w:val="24"/>
          <w:szCs w:val="24"/>
        </w:rPr>
        <w:t>i</w:t>
      </w:r>
      <w:r w:rsidR="00866F19">
        <w:rPr>
          <w:i/>
          <w:iCs/>
          <w:color w:val="002060"/>
          <w:sz w:val="24"/>
          <w:szCs w:val="24"/>
        </w:rPr>
        <w:t>i</w:t>
      </w:r>
      <w:r>
        <w:rPr>
          <w:i/>
          <w:iCs/>
          <w:color w:val="002060"/>
          <w:sz w:val="24"/>
          <w:szCs w:val="24"/>
        </w:rPr>
        <w:t>)</w:t>
      </w:r>
      <w:r w:rsidR="00866F19">
        <w:rPr>
          <w:i/>
          <w:iCs/>
          <w:color w:val="002060"/>
          <w:sz w:val="24"/>
          <w:szCs w:val="24"/>
        </w:rPr>
        <w:t xml:space="preserve"> </w:t>
      </w:r>
      <w:r w:rsidRPr="00E43E13" w:rsidR="008F22EA">
        <w:rPr>
          <w:i/>
          <w:iCs/>
          <w:color w:val="002060"/>
          <w:sz w:val="24"/>
          <w:szCs w:val="24"/>
        </w:rPr>
        <w:t>On the family</w:t>
      </w:r>
    </w:p>
    <w:p w:rsidRPr="0014596E" w:rsidR="00CC47FC" w:rsidP="003768ED" w:rsidRDefault="00C632FF" w14:paraId="2DDF0F26" w14:textId="6E8FDF9A">
      <w:pPr>
        <w:pStyle w:val="Normal0"/>
        <w:numPr>
          <w:ilvl w:val="0"/>
          <w:numId w:val="2"/>
        </w:numPr>
        <w:jc w:val="both"/>
        <w:rPr>
          <w:rFonts w:asciiTheme="minorHAnsi" w:hAnsiTheme="minorHAnsi" w:cstheme="minorHAnsi"/>
          <w:sz w:val="22"/>
          <w:szCs w:val="22"/>
        </w:rPr>
      </w:pPr>
      <w:r w:rsidRPr="090C4359">
        <w:rPr>
          <w:rFonts w:asciiTheme="minorHAnsi" w:hAnsiTheme="minorHAnsi" w:cstheme="minorBidi"/>
          <w:sz w:val="22"/>
          <w:szCs w:val="22"/>
        </w:rPr>
        <w:t>H</w:t>
      </w:r>
      <w:r w:rsidRPr="090C4359" w:rsidR="00F3708F">
        <w:rPr>
          <w:rFonts w:asciiTheme="minorHAnsi" w:hAnsiTheme="minorHAnsi" w:cstheme="minorBidi"/>
          <w:sz w:val="22"/>
          <w:szCs w:val="22"/>
        </w:rPr>
        <w:t xml:space="preserve">aving a child that is critically ill is </w:t>
      </w:r>
      <w:r w:rsidRPr="090C4359" w:rsidR="00757E1F">
        <w:rPr>
          <w:rFonts w:asciiTheme="minorHAnsi" w:hAnsiTheme="minorHAnsi" w:cstheme="minorBidi"/>
          <w:sz w:val="22"/>
          <w:szCs w:val="22"/>
        </w:rPr>
        <w:t xml:space="preserve">extremely stressful for the child’s </w:t>
      </w:r>
      <w:r w:rsidRPr="090C4359">
        <w:rPr>
          <w:rFonts w:asciiTheme="minorHAnsi" w:hAnsiTheme="minorHAnsi" w:cstheme="minorBidi"/>
          <w:sz w:val="22"/>
          <w:szCs w:val="22"/>
        </w:rPr>
        <w:t>family</w:t>
      </w:r>
      <w:r w:rsidRPr="090C4359" w:rsidR="003467B8">
        <w:rPr>
          <w:rFonts w:asciiTheme="minorHAnsi" w:hAnsiTheme="minorHAnsi" w:cstheme="minorBidi"/>
          <w:sz w:val="22"/>
          <w:szCs w:val="22"/>
        </w:rPr>
        <w:t xml:space="preserve"> and is </w:t>
      </w:r>
      <w:r w:rsidRPr="090C4359" w:rsidR="00D62122">
        <w:rPr>
          <w:rFonts w:asciiTheme="minorHAnsi" w:hAnsiTheme="minorHAnsi" w:cstheme="minorBidi"/>
          <w:sz w:val="22"/>
          <w:szCs w:val="22"/>
        </w:rPr>
        <w:t>compounded by the “moral distress”</w:t>
      </w:r>
      <w:r w:rsidRPr="090C4359" w:rsidR="008C2A4E">
        <w:rPr>
          <w:rFonts w:asciiTheme="minorHAnsi" w:hAnsiTheme="minorHAnsi" w:cstheme="minorBidi"/>
          <w:sz w:val="22"/>
          <w:szCs w:val="22"/>
        </w:rPr>
        <w:t xml:space="preserve"> </w:t>
      </w:r>
      <w:r w:rsidRPr="090C4359" w:rsidR="001A54E1">
        <w:rPr>
          <w:rFonts w:asciiTheme="minorHAnsi" w:hAnsiTheme="minorHAnsi" w:cstheme="minorBidi"/>
          <w:sz w:val="22"/>
          <w:szCs w:val="22"/>
        </w:rPr>
        <w:t xml:space="preserve">that </w:t>
      </w:r>
      <w:r w:rsidRPr="090C4359" w:rsidR="008C2A4E">
        <w:rPr>
          <w:rFonts w:asciiTheme="minorHAnsi" w:hAnsiTheme="minorHAnsi" w:cstheme="minorBidi"/>
          <w:sz w:val="22"/>
          <w:szCs w:val="22"/>
        </w:rPr>
        <w:t>parents experience</w:t>
      </w:r>
      <w:r w:rsidRPr="090C4359" w:rsidR="00730214">
        <w:rPr>
          <w:rFonts w:asciiTheme="minorHAnsi" w:hAnsiTheme="minorHAnsi" w:cstheme="minorBidi"/>
          <w:sz w:val="22"/>
          <w:szCs w:val="22"/>
        </w:rPr>
        <w:t>. This type of distress arises</w:t>
      </w:r>
      <w:r w:rsidRPr="090C4359" w:rsidR="008C2A4E">
        <w:rPr>
          <w:rFonts w:asciiTheme="minorHAnsi" w:hAnsiTheme="minorHAnsi" w:cstheme="minorBidi"/>
          <w:sz w:val="22"/>
          <w:szCs w:val="22"/>
        </w:rPr>
        <w:t xml:space="preserve"> </w:t>
      </w:r>
      <w:r w:rsidRPr="090C4359" w:rsidR="00730214">
        <w:rPr>
          <w:rFonts w:asciiTheme="minorHAnsi" w:hAnsiTheme="minorHAnsi" w:cstheme="minorBidi"/>
          <w:sz w:val="22"/>
          <w:szCs w:val="22"/>
        </w:rPr>
        <w:t xml:space="preserve">from </w:t>
      </w:r>
      <w:r w:rsidRPr="090C4359" w:rsidR="00D62122">
        <w:rPr>
          <w:rFonts w:asciiTheme="minorHAnsi" w:hAnsiTheme="minorHAnsi" w:cstheme="minorBidi"/>
          <w:sz w:val="22"/>
          <w:szCs w:val="22"/>
        </w:rPr>
        <w:t xml:space="preserve">having </w:t>
      </w:r>
      <w:r w:rsidRPr="090C4359" w:rsidR="00985683">
        <w:rPr>
          <w:rFonts w:asciiTheme="minorHAnsi" w:hAnsiTheme="minorHAnsi" w:cstheme="minorBidi"/>
          <w:sz w:val="22"/>
          <w:szCs w:val="22"/>
        </w:rPr>
        <w:t xml:space="preserve">decision-making challenged </w:t>
      </w:r>
      <w:r w:rsidRPr="090C4359" w:rsidR="009F6E69">
        <w:rPr>
          <w:rFonts w:asciiTheme="minorHAnsi" w:hAnsiTheme="minorHAnsi" w:cstheme="minorBidi"/>
          <w:sz w:val="22"/>
          <w:szCs w:val="22"/>
        </w:rPr>
        <w:t xml:space="preserve">and </w:t>
      </w:r>
      <w:r w:rsidRPr="090C4359" w:rsidR="00CE2453">
        <w:rPr>
          <w:rFonts w:asciiTheme="minorHAnsi" w:hAnsiTheme="minorHAnsi" w:cstheme="minorBidi"/>
          <w:sz w:val="22"/>
          <w:szCs w:val="22"/>
        </w:rPr>
        <w:t xml:space="preserve">being </w:t>
      </w:r>
      <w:r w:rsidRPr="090C4359" w:rsidR="00CD273D">
        <w:rPr>
          <w:rFonts w:asciiTheme="minorHAnsi" w:hAnsiTheme="minorHAnsi" w:cstheme="minorBidi"/>
          <w:sz w:val="22"/>
          <w:szCs w:val="22"/>
        </w:rPr>
        <w:t xml:space="preserve">prevented from </w:t>
      </w:r>
      <w:r w:rsidRPr="090C4359" w:rsidR="00CB10C3">
        <w:rPr>
          <w:rFonts w:asciiTheme="minorHAnsi" w:hAnsiTheme="minorHAnsi" w:cstheme="minorBidi"/>
          <w:sz w:val="22"/>
          <w:szCs w:val="22"/>
        </w:rPr>
        <w:t>p</w:t>
      </w:r>
      <w:r w:rsidRPr="090C4359" w:rsidR="00287730">
        <w:rPr>
          <w:rFonts w:asciiTheme="minorHAnsi" w:hAnsiTheme="minorHAnsi" w:cstheme="minorBidi"/>
          <w:sz w:val="22"/>
          <w:szCs w:val="22"/>
        </w:rPr>
        <w:t>ursu</w:t>
      </w:r>
      <w:r w:rsidRPr="090C4359" w:rsidR="00CB10C3">
        <w:rPr>
          <w:rFonts w:asciiTheme="minorHAnsi" w:hAnsiTheme="minorHAnsi" w:cstheme="minorBidi"/>
          <w:sz w:val="22"/>
          <w:szCs w:val="22"/>
        </w:rPr>
        <w:t xml:space="preserve">ing what </w:t>
      </w:r>
      <w:r w:rsidRPr="090C4359" w:rsidR="00730214">
        <w:rPr>
          <w:rFonts w:asciiTheme="minorHAnsi" w:hAnsiTheme="minorHAnsi" w:cstheme="minorBidi"/>
          <w:sz w:val="22"/>
          <w:szCs w:val="22"/>
        </w:rPr>
        <w:t>parents</w:t>
      </w:r>
      <w:r w:rsidRPr="090C4359" w:rsidR="00CB10C3">
        <w:rPr>
          <w:rFonts w:asciiTheme="minorHAnsi" w:hAnsiTheme="minorHAnsi" w:cstheme="minorBidi"/>
          <w:sz w:val="22"/>
          <w:szCs w:val="22"/>
        </w:rPr>
        <w:t xml:space="preserve"> feel is the </w:t>
      </w:r>
      <w:r w:rsidRPr="090C4359" w:rsidR="00985683">
        <w:rPr>
          <w:rFonts w:asciiTheme="minorHAnsi" w:hAnsiTheme="minorHAnsi" w:cstheme="minorBidi"/>
          <w:sz w:val="22"/>
          <w:szCs w:val="22"/>
        </w:rPr>
        <w:t>ethically right course of action for their child and family</w:t>
      </w:r>
      <w:r w:rsidRPr="090C4359" w:rsidR="004A2ABA">
        <w:rPr>
          <w:rFonts w:asciiTheme="minorHAnsi" w:hAnsiTheme="minorHAnsi" w:cstheme="minorBidi"/>
          <w:sz w:val="22"/>
          <w:szCs w:val="22"/>
        </w:rPr>
        <w:t>.</w:t>
      </w:r>
      <w:r w:rsidRPr="090C4359" w:rsidR="004A2ABA">
        <w:rPr>
          <w:rStyle w:val="FootnoteReference"/>
          <w:rFonts w:asciiTheme="minorHAnsi" w:hAnsiTheme="minorHAnsi" w:cstheme="minorBidi"/>
          <w:sz w:val="22"/>
          <w:szCs w:val="22"/>
        </w:rPr>
        <w:footnoteReference w:id="183"/>
      </w:r>
      <w:r w:rsidRPr="090C4359" w:rsidR="000D4C34">
        <w:rPr>
          <w:rFonts w:asciiTheme="minorHAnsi" w:hAnsiTheme="minorHAnsi" w:cstheme="minorBidi"/>
          <w:sz w:val="22"/>
          <w:szCs w:val="22"/>
        </w:rPr>
        <w:t xml:space="preserve"> </w:t>
      </w:r>
      <w:r w:rsidRPr="090C4359" w:rsidR="00C25581">
        <w:rPr>
          <w:rFonts w:asciiTheme="minorHAnsi" w:hAnsiTheme="minorHAnsi" w:cstheme="minorBidi"/>
          <w:sz w:val="22"/>
          <w:szCs w:val="22"/>
        </w:rPr>
        <w:t>Abela et al</w:t>
      </w:r>
      <w:r w:rsidRPr="090C4359" w:rsidR="00593D0C">
        <w:rPr>
          <w:rFonts w:asciiTheme="minorHAnsi" w:hAnsiTheme="minorHAnsi" w:cstheme="minorBidi"/>
          <w:sz w:val="22"/>
          <w:szCs w:val="22"/>
        </w:rPr>
        <w:t xml:space="preserve">’s </w:t>
      </w:r>
      <w:r w:rsidRPr="090C4359" w:rsidR="00D61A3B">
        <w:rPr>
          <w:rFonts w:asciiTheme="minorHAnsi" w:hAnsiTheme="minorHAnsi" w:cstheme="minorBidi"/>
          <w:sz w:val="22"/>
          <w:szCs w:val="22"/>
        </w:rPr>
        <w:t>US</w:t>
      </w:r>
      <w:r w:rsidRPr="090C4359" w:rsidR="00593D0C">
        <w:rPr>
          <w:rFonts w:asciiTheme="minorHAnsi" w:hAnsiTheme="minorHAnsi" w:cstheme="minorBidi"/>
          <w:sz w:val="22"/>
          <w:szCs w:val="22"/>
        </w:rPr>
        <w:t xml:space="preserve"> </w:t>
      </w:r>
      <w:r w:rsidRPr="090C4359" w:rsidR="00C25581">
        <w:rPr>
          <w:rFonts w:asciiTheme="minorHAnsi" w:hAnsiTheme="minorHAnsi" w:cstheme="minorBidi"/>
          <w:sz w:val="22"/>
          <w:szCs w:val="22"/>
        </w:rPr>
        <w:t>Systematic R</w:t>
      </w:r>
      <w:r w:rsidRPr="090C4359" w:rsidR="00593D0C">
        <w:rPr>
          <w:rFonts w:asciiTheme="minorHAnsi" w:hAnsiTheme="minorHAnsi" w:cstheme="minorBidi"/>
          <w:sz w:val="22"/>
          <w:szCs w:val="22"/>
        </w:rPr>
        <w:t>eview</w:t>
      </w:r>
      <w:r w:rsidRPr="090C4359" w:rsidR="008B6ECC">
        <w:rPr>
          <w:rFonts w:asciiTheme="minorHAnsi" w:hAnsiTheme="minorHAnsi" w:cstheme="minorBidi"/>
          <w:sz w:val="22"/>
          <w:szCs w:val="22"/>
        </w:rPr>
        <w:t>, observed that</w:t>
      </w:r>
      <w:r w:rsidRPr="090C4359" w:rsidR="00F82C97">
        <w:rPr>
          <w:rFonts w:asciiTheme="minorHAnsi" w:hAnsiTheme="minorHAnsi" w:cstheme="minorBidi"/>
          <w:sz w:val="22"/>
          <w:szCs w:val="22"/>
        </w:rPr>
        <w:t xml:space="preserve"> whilst</w:t>
      </w:r>
      <w:r w:rsidRPr="090C4359" w:rsidR="008B6ECC">
        <w:rPr>
          <w:rFonts w:asciiTheme="minorHAnsi" w:hAnsiTheme="minorHAnsi" w:cstheme="minorBidi"/>
          <w:sz w:val="22"/>
          <w:szCs w:val="22"/>
        </w:rPr>
        <w:t xml:space="preserve"> the 24</w:t>
      </w:r>
      <w:r w:rsidRPr="090C4359" w:rsidR="00DD1F14">
        <w:rPr>
          <w:rFonts w:asciiTheme="minorHAnsi" w:hAnsiTheme="minorHAnsi" w:cstheme="minorBidi"/>
          <w:sz w:val="22"/>
          <w:szCs w:val="22"/>
        </w:rPr>
        <w:t>-</w:t>
      </w:r>
      <w:r w:rsidRPr="090C4359" w:rsidR="008B6ECC">
        <w:rPr>
          <w:rFonts w:asciiTheme="minorHAnsi" w:hAnsiTheme="minorHAnsi" w:cstheme="minorBidi"/>
          <w:sz w:val="22"/>
          <w:szCs w:val="22"/>
        </w:rPr>
        <w:t xml:space="preserve">hour </w:t>
      </w:r>
      <w:r w:rsidRPr="090C4359" w:rsidR="00611952">
        <w:rPr>
          <w:rFonts w:asciiTheme="minorHAnsi" w:hAnsiTheme="minorHAnsi" w:cstheme="minorBidi"/>
          <w:sz w:val="22"/>
          <w:szCs w:val="22"/>
        </w:rPr>
        <w:t>presence of families at the child’s bedside</w:t>
      </w:r>
      <w:r w:rsidRPr="090C4359" w:rsidR="0076614C">
        <w:rPr>
          <w:rFonts w:asciiTheme="minorHAnsi" w:hAnsiTheme="minorHAnsi" w:cstheme="minorBidi"/>
          <w:sz w:val="22"/>
          <w:szCs w:val="22"/>
        </w:rPr>
        <w:t xml:space="preserve"> with attendant participation in the child’s care</w:t>
      </w:r>
      <w:r w:rsidRPr="090C4359" w:rsidR="00611952">
        <w:rPr>
          <w:rFonts w:asciiTheme="minorHAnsi" w:hAnsiTheme="minorHAnsi" w:cstheme="minorBidi"/>
          <w:sz w:val="22"/>
          <w:szCs w:val="22"/>
        </w:rPr>
        <w:t>,</w:t>
      </w:r>
      <w:r w:rsidRPr="090C4359" w:rsidR="0076614C">
        <w:rPr>
          <w:rFonts w:asciiTheme="minorHAnsi" w:hAnsiTheme="minorHAnsi" w:cstheme="minorBidi"/>
          <w:sz w:val="22"/>
          <w:szCs w:val="22"/>
        </w:rPr>
        <w:t xml:space="preserve"> may</w:t>
      </w:r>
      <w:r w:rsidRPr="090C4359" w:rsidR="00DD1F14">
        <w:rPr>
          <w:rFonts w:asciiTheme="minorHAnsi" w:hAnsiTheme="minorHAnsi" w:cstheme="minorBidi"/>
          <w:sz w:val="22"/>
          <w:szCs w:val="22"/>
        </w:rPr>
        <w:t xml:space="preserve"> ‘promote </w:t>
      </w:r>
      <w:r w:rsidRPr="090C4359" w:rsidR="004966C8">
        <w:rPr>
          <w:rFonts w:asciiTheme="minorHAnsi" w:hAnsiTheme="minorHAnsi" w:cstheme="minorBidi"/>
          <w:sz w:val="22"/>
          <w:szCs w:val="22"/>
        </w:rPr>
        <w:t>coping and healing’</w:t>
      </w:r>
      <w:r w:rsidRPr="090C4359" w:rsidR="00575ABA">
        <w:rPr>
          <w:rFonts w:asciiTheme="minorHAnsi" w:hAnsiTheme="minorHAnsi" w:cstheme="minorBidi"/>
          <w:sz w:val="22"/>
          <w:szCs w:val="22"/>
        </w:rPr>
        <w:t xml:space="preserve">, </w:t>
      </w:r>
      <w:r w:rsidRPr="090C4359" w:rsidR="004966C8">
        <w:rPr>
          <w:rFonts w:asciiTheme="minorHAnsi" w:hAnsiTheme="minorHAnsi" w:cstheme="minorBidi"/>
          <w:sz w:val="22"/>
          <w:szCs w:val="22"/>
        </w:rPr>
        <w:t>there is little evidence of the adverse implications</w:t>
      </w:r>
      <w:r w:rsidRPr="090C4359" w:rsidR="006A2D79">
        <w:rPr>
          <w:rFonts w:asciiTheme="minorHAnsi" w:hAnsiTheme="minorHAnsi" w:cstheme="minorBidi"/>
          <w:sz w:val="22"/>
          <w:szCs w:val="22"/>
        </w:rPr>
        <w:t xml:space="preserve"> on families</w:t>
      </w:r>
      <w:r w:rsidRPr="090C4359" w:rsidR="00575ABA">
        <w:rPr>
          <w:rFonts w:asciiTheme="minorHAnsi" w:hAnsiTheme="minorHAnsi" w:cstheme="minorBidi"/>
          <w:sz w:val="22"/>
          <w:szCs w:val="22"/>
        </w:rPr>
        <w:t xml:space="preserve"> </w:t>
      </w:r>
      <w:r w:rsidRPr="090C4359" w:rsidR="006A2D79">
        <w:rPr>
          <w:rFonts w:asciiTheme="minorHAnsi" w:hAnsiTheme="minorHAnsi" w:cstheme="minorBidi"/>
          <w:sz w:val="22"/>
          <w:szCs w:val="22"/>
        </w:rPr>
        <w:t>of this increased involvement</w:t>
      </w:r>
      <w:r w:rsidRPr="090C4359" w:rsidR="00C25581">
        <w:rPr>
          <w:rFonts w:asciiTheme="minorHAnsi" w:hAnsiTheme="minorHAnsi" w:cstheme="minorBidi"/>
          <w:sz w:val="22"/>
          <w:szCs w:val="22"/>
        </w:rPr>
        <w:t>.</w:t>
      </w:r>
      <w:r w:rsidRPr="090C4359" w:rsidR="00C25581">
        <w:rPr>
          <w:rStyle w:val="FootnoteReference"/>
          <w:rFonts w:asciiTheme="minorHAnsi" w:hAnsiTheme="minorHAnsi" w:cstheme="minorBidi"/>
          <w:sz w:val="22"/>
          <w:szCs w:val="22"/>
        </w:rPr>
        <w:footnoteReference w:id="184"/>
      </w:r>
      <w:r w:rsidRPr="090C4359" w:rsidR="00D5035A">
        <w:rPr>
          <w:rFonts w:asciiTheme="minorHAnsi" w:hAnsiTheme="minorHAnsi" w:cstheme="minorBidi"/>
          <w:sz w:val="22"/>
          <w:szCs w:val="22"/>
        </w:rPr>
        <w:t xml:space="preserve"> </w:t>
      </w:r>
      <w:r w:rsidRPr="090C4359" w:rsidR="00844235">
        <w:rPr>
          <w:rFonts w:asciiTheme="minorHAnsi" w:hAnsiTheme="minorHAnsi" w:cstheme="minorBidi"/>
          <w:sz w:val="22"/>
          <w:szCs w:val="22"/>
        </w:rPr>
        <w:t xml:space="preserve">Zimmerman has explored the </w:t>
      </w:r>
      <w:r w:rsidRPr="090C4359" w:rsidR="000F5ADF">
        <w:rPr>
          <w:rFonts w:asciiTheme="minorHAnsi" w:hAnsiTheme="minorHAnsi" w:cstheme="minorBidi"/>
          <w:sz w:val="22"/>
          <w:szCs w:val="22"/>
        </w:rPr>
        <w:t xml:space="preserve">place of parental values in healthcare decision-making and </w:t>
      </w:r>
      <w:r w:rsidRPr="090C4359" w:rsidR="004F762B">
        <w:rPr>
          <w:rFonts w:asciiTheme="minorHAnsi" w:hAnsiTheme="minorHAnsi" w:cstheme="minorBidi"/>
          <w:sz w:val="22"/>
          <w:szCs w:val="22"/>
        </w:rPr>
        <w:t>a</w:t>
      </w:r>
      <w:r w:rsidRPr="090C4359" w:rsidR="00021DAE">
        <w:rPr>
          <w:rFonts w:asciiTheme="minorHAnsi" w:hAnsiTheme="minorHAnsi" w:cstheme="minorBidi"/>
          <w:sz w:val="22"/>
          <w:szCs w:val="22"/>
        </w:rPr>
        <w:t>sserts that</w:t>
      </w:r>
      <w:r w:rsidRPr="090C4359" w:rsidR="00D170DF">
        <w:rPr>
          <w:rFonts w:asciiTheme="minorHAnsi" w:hAnsiTheme="minorHAnsi" w:cstheme="minorBidi"/>
          <w:sz w:val="22"/>
          <w:szCs w:val="22"/>
        </w:rPr>
        <w:t xml:space="preserve"> these values are much deeper than mere preferences</w:t>
      </w:r>
      <w:r w:rsidRPr="090C4359" w:rsidR="00751D69">
        <w:rPr>
          <w:rFonts w:asciiTheme="minorHAnsi" w:hAnsiTheme="minorHAnsi" w:cstheme="minorBidi"/>
          <w:sz w:val="22"/>
          <w:szCs w:val="22"/>
        </w:rPr>
        <w:t>. She claims</w:t>
      </w:r>
      <w:r w:rsidRPr="090C4359" w:rsidR="00D170DF">
        <w:rPr>
          <w:rFonts w:asciiTheme="minorHAnsi" w:hAnsiTheme="minorHAnsi" w:cstheme="minorBidi"/>
          <w:sz w:val="22"/>
          <w:szCs w:val="22"/>
        </w:rPr>
        <w:t xml:space="preserve"> that</w:t>
      </w:r>
      <w:r w:rsidRPr="090C4359" w:rsidR="00021DAE">
        <w:rPr>
          <w:rFonts w:asciiTheme="minorHAnsi" w:hAnsiTheme="minorHAnsi" w:cstheme="minorBidi"/>
          <w:sz w:val="22"/>
          <w:szCs w:val="22"/>
        </w:rPr>
        <w:t xml:space="preserve"> </w:t>
      </w:r>
      <w:r w:rsidRPr="090C4359" w:rsidR="0023796C">
        <w:rPr>
          <w:rFonts w:asciiTheme="minorHAnsi" w:hAnsiTheme="minorHAnsi" w:cstheme="minorBidi"/>
          <w:sz w:val="22"/>
          <w:szCs w:val="22"/>
        </w:rPr>
        <w:t>inattention to</w:t>
      </w:r>
      <w:r w:rsidRPr="090C4359" w:rsidR="00021DAE">
        <w:rPr>
          <w:rFonts w:asciiTheme="minorHAnsi" w:hAnsiTheme="minorHAnsi" w:cstheme="minorBidi"/>
          <w:sz w:val="22"/>
          <w:szCs w:val="22"/>
        </w:rPr>
        <w:t xml:space="preserve"> th</w:t>
      </w:r>
      <w:r w:rsidRPr="090C4359" w:rsidR="00D170DF">
        <w:rPr>
          <w:rFonts w:asciiTheme="minorHAnsi" w:hAnsiTheme="minorHAnsi" w:cstheme="minorBidi"/>
          <w:sz w:val="22"/>
          <w:szCs w:val="22"/>
        </w:rPr>
        <w:t>em</w:t>
      </w:r>
      <w:r w:rsidRPr="090C4359" w:rsidR="00021DAE">
        <w:rPr>
          <w:rFonts w:asciiTheme="minorHAnsi" w:hAnsiTheme="minorHAnsi" w:cstheme="minorBidi"/>
          <w:sz w:val="22"/>
          <w:szCs w:val="22"/>
        </w:rPr>
        <w:t xml:space="preserve"> ‘</w:t>
      </w:r>
      <w:r w:rsidRPr="090C4359" w:rsidR="00844235">
        <w:rPr>
          <w:rFonts w:asciiTheme="minorHAnsi" w:hAnsiTheme="minorHAnsi" w:cstheme="minorBidi"/>
          <w:sz w:val="22"/>
          <w:szCs w:val="22"/>
        </w:rPr>
        <w:t>results in the sense of invisibility, disregard, and even abandonment as a decision maker</w:t>
      </w:r>
      <w:r w:rsidRPr="090C4359" w:rsidR="00021DAE">
        <w:rPr>
          <w:rFonts w:asciiTheme="minorHAnsi" w:hAnsiTheme="minorHAnsi" w:cstheme="minorBidi"/>
          <w:sz w:val="22"/>
          <w:szCs w:val="22"/>
        </w:rPr>
        <w:t>’</w:t>
      </w:r>
      <w:r w:rsidRPr="090C4359" w:rsidR="002A4B82">
        <w:rPr>
          <w:rFonts w:asciiTheme="minorHAnsi" w:hAnsiTheme="minorHAnsi" w:cstheme="minorBidi"/>
          <w:sz w:val="22"/>
          <w:szCs w:val="22"/>
        </w:rPr>
        <w:t xml:space="preserve">- something which she </w:t>
      </w:r>
      <w:r w:rsidRPr="090C4359" w:rsidR="000A1AE8">
        <w:rPr>
          <w:rFonts w:asciiTheme="minorHAnsi" w:hAnsiTheme="minorHAnsi" w:cstheme="minorBidi"/>
          <w:sz w:val="22"/>
          <w:szCs w:val="22"/>
        </w:rPr>
        <w:t>equates to a ‘trauma’</w:t>
      </w:r>
      <w:r w:rsidRPr="090C4359" w:rsidR="002A4B82">
        <w:rPr>
          <w:rFonts w:asciiTheme="minorHAnsi" w:hAnsiTheme="minorHAnsi" w:cstheme="minorBidi"/>
          <w:sz w:val="22"/>
          <w:szCs w:val="22"/>
        </w:rPr>
        <w:t>.</w:t>
      </w:r>
      <w:r w:rsidRPr="090C4359" w:rsidR="00844235">
        <w:rPr>
          <w:rStyle w:val="FootnoteReference"/>
          <w:rFonts w:asciiTheme="minorHAnsi" w:hAnsiTheme="minorHAnsi" w:cstheme="minorBidi"/>
          <w:sz w:val="22"/>
          <w:szCs w:val="22"/>
        </w:rPr>
        <w:footnoteReference w:id="185"/>
      </w:r>
      <w:r w:rsidRPr="090C4359" w:rsidR="002A4B82">
        <w:rPr>
          <w:rFonts w:asciiTheme="minorHAnsi" w:hAnsiTheme="minorHAnsi" w:cstheme="minorBidi"/>
          <w:sz w:val="22"/>
          <w:szCs w:val="22"/>
        </w:rPr>
        <w:t xml:space="preserve"> </w:t>
      </w:r>
      <w:r w:rsidRPr="090C4359" w:rsidR="00CC22D1">
        <w:rPr>
          <w:rFonts w:asciiTheme="minorHAnsi" w:hAnsiTheme="minorHAnsi" w:cstheme="minorBidi"/>
          <w:sz w:val="22"/>
          <w:szCs w:val="22"/>
        </w:rPr>
        <w:t xml:space="preserve">Both Zimmerman, and Mooney-Doyle and Ulrich </w:t>
      </w:r>
      <w:r w:rsidRPr="090C4359" w:rsidR="006B7A34">
        <w:rPr>
          <w:rFonts w:asciiTheme="minorHAnsi" w:hAnsiTheme="minorHAnsi" w:cstheme="minorBidi"/>
          <w:sz w:val="22"/>
          <w:szCs w:val="22"/>
        </w:rPr>
        <w:t xml:space="preserve">claim that there is </w:t>
      </w:r>
      <w:r w:rsidRPr="090C4359" w:rsidR="00B02599">
        <w:rPr>
          <w:rFonts w:asciiTheme="minorHAnsi" w:hAnsiTheme="minorHAnsi" w:cstheme="minorBidi"/>
          <w:sz w:val="22"/>
          <w:szCs w:val="22"/>
        </w:rPr>
        <w:t>little discussion</w:t>
      </w:r>
      <w:r w:rsidRPr="090C4359" w:rsidR="004B3179">
        <w:rPr>
          <w:rFonts w:asciiTheme="minorHAnsi" w:hAnsiTheme="minorHAnsi" w:cstheme="minorBidi"/>
          <w:sz w:val="22"/>
          <w:szCs w:val="22"/>
        </w:rPr>
        <w:t>,</w:t>
      </w:r>
      <w:r w:rsidRPr="090C4359" w:rsidR="00B02599">
        <w:rPr>
          <w:rFonts w:asciiTheme="minorHAnsi" w:hAnsiTheme="minorHAnsi" w:cstheme="minorBidi"/>
          <w:sz w:val="22"/>
          <w:szCs w:val="22"/>
        </w:rPr>
        <w:t xml:space="preserve"> and no</w:t>
      </w:r>
      <w:r w:rsidRPr="090C4359" w:rsidR="006B7A34">
        <w:rPr>
          <w:rFonts w:asciiTheme="minorHAnsi" w:hAnsiTheme="minorHAnsi" w:cstheme="minorBidi"/>
          <w:sz w:val="22"/>
          <w:szCs w:val="22"/>
        </w:rPr>
        <w:t xml:space="preserve"> rea</w:t>
      </w:r>
      <w:r w:rsidRPr="090C4359" w:rsidR="00044A0A">
        <w:rPr>
          <w:rFonts w:asciiTheme="minorHAnsi" w:hAnsiTheme="minorHAnsi" w:cstheme="minorBidi"/>
          <w:sz w:val="22"/>
          <w:szCs w:val="22"/>
        </w:rPr>
        <w:t xml:space="preserve">l data or mechanisms </w:t>
      </w:r>
      <w:r w:rsidRPr="090C4359" w:rsidR="006B7A34">
        <w:rPr>
          <w:rFonts w:asciiTheme="minorHAnsi" w:hAnsiTheme="minorHAnsi" w:cstheme="minorBidi"/>
          <w:sz w:val="22"/>
          <w:szCs w:val="22"/>
        </w:rPr>
        <w:t>for assess</w:t>
      </w:r>
      <w:r w:rsidRPr="090C4359" w:rsidR="00044A0A">
        <w:rPr>
          <w:rFonts w:asciiTheme="minorHAnsi" w:hAnsiTheme="minorHAnsi" w:cstheme="minorBidi"/>
          <w:sz w:val="22"/>
          <w:szCs w:val="22"/>
        </w:rPr>
        <w:t>ing the meaning and impact of conflict and the undermining of values on parents.</w:t>
      </w:r>
      <w:r w:rsidRPr="090C4359" w:rsidR="006B7A34">
        <w:rPr>
          <w:rStyle w:val="FootnoteReference"/>
          <w:rFonts w:asciiTheme="minorHAnsi" w:hAnsiTheme="minorHAnsi" w:cstheme="minorBidi"/>
          <w:sz w:val="22"/>
          <w:szCs w:val="22"/>
        </w:rPr>
        <w:footnoteReference w:id="186"/>
      </w:r>
      <w:r w:rsidRPr="090C4359" w:rsidR="00AC1F1E">
        <w:rPr>
          <w:rFonts w:asciiTheme="minorHAnsi" w:hAnsiTheme="minorHAnsi" w:cstheme="minorBidi"/>
          <w:sz w:val="22"/>
          <w:szCs w:val="22"/>
        </w:rPr>
        <w:t xml:space="preserve"> </w:t>
      </w:r>
      <w:r w:rsidRPr="090C4359" w:rsidR="001118DB">
        <w:rPr>
          <w:rFonts w:asciiTheme="minorHAnsi" w:hAnsiTheme="minorHAnsi" w:cstheme="minorBidi"/>
          <w:sz w:val="22"/>
          <w:szCs w:val="22"/>
        </w:rPr>
        <w:t>Fu</w:t>
      </w:r>
      <w:r w:rsidRPr="090C4359" w:rsidR="00CD596E">
        <w:rPr>
          <w:rFonts w:asciiTheme="minorHAnsi" w:hAnsiTheme="minorHAnsi" w:cstheme="minorBidi"/>
          <w:sz w:val="22"/>
          <w:szCs w:val="22"/>
        </w:rPr>
        <w:t>r</w:t>
      </w:r>
      <w:r w:rsidRPr="090C4359" w:rsidR="001118DB">
        <w:rPr>
          <w:rFonts w:asciiTheme="minorHAnsi" w:hAnsiTheme="minorHAnsi" w:cstheme="minorBidi"/>
          <w:sz w:val="22"/>
          <w:szCs w:val="22"/>
        </w:rPr>
        <w:t>thermore</w:t>
      </w:r>
      <w:r w:rsidRPr="090C4359" w:rsidR="00DD3653">
        <w:rPr>
          <w:rFonts w:asciiTheme="minorHAnsi" w:hAnsiTheme="minorHAnsi" w:cstheme="minorBidi"/>
          <w:sz w:val="22"/>
          <w:szCs w:val="22"/>
        </w:rPr>
        <w:t>, Zimmerman’s view is that, whether due to lack of data or paternal</w:t>
      </w:r>
      <w:r w:rsidRPr="090C4359" w:rsidR="003626F3">
        <w:rPr>
          <w:rFonts w:asciiTheme="minorHAnsi" w:hAnsiTheme="minorHAnsi" w:cstheme="minorBidi"/>
          <w:sz w:val="22"/>
          <w:szCs w:val="22"/>
        </w:rPr>
        <w:t>istic</w:t>
      </w:r>
      <w:r w:rsidRPr="090C4359" w:rsidR="00DD3653">
        <w:rPr>
          <w:rFonts w:asciiTheme="minorHAnsi" w:hAnsiTheme="minorHAnsi" w:cstheme="minorBidi"/>
          <w:sz w:val="22"/>
          <w:szCs w:val="22"/>
        </w:rPr>
        <w:t xml:space="preserve"> attitudes, clinicians</w:t>
      </w:r>
      <w:r w:rsidRPr="090C4359" w:rsidR="00F30FBB">
        <w:rPr>
          <w:rFonts w:asciiTheme="minorHAnsi" w:hAnsiTheme="minorHAnsi" w:cstheme="minorBidi"/>
          <w:sz w:val="22"/>
          <w:szCs w:val="22"/>
        </w:rPr>
        <w:t xml:space="preserve"> underestimate </w:t>
      </w:r>
      <w:r w:rsidRPr="090C4359" w:rsidR="001118DB">
        <w:rPr>
          <w:rFonts w:asciiTheme="minorHAnsi" w:hAnsiTheme="minorHAnsi" w:cstheme="minorBidi"/>
          <w:sz w:val="22"/>
          <w:szCs w:val="22"/>
        </w:rPr>
        <w:t xml:space="preserve">the </w:t>
      </w:r>
      <w:r w:rsidRPr="090C4359" w:rsidR="004B3179">
        <w:rPr>
          <w:rFonts w:asciiTheme="minorHAnsi" w:hAnsiTheme="minorHAnsi" w:cstheme="minorBidi"/>
          <w:sz w:val="22"/>
          <w:szCs w:val="22"/>
        </w:rPr>
        <w:t>‘</w:t>
      </w:r>
      <w:r w:rsidRPr="090C4359" w:rsidR="00DD3653">
        <w:rPr>
          <w:rFonts w:asciiTheme="minorHAnsi" w:hAnsiTheme="minorHAnsi" w:cstheme="minorBidi"/>
          <w:sz w:val="22"/>
          <w:szCs w:val="22"/>
        </w:rPr>
        <w:t>trauma caused when parents are forced to deviate from values dear to them.’</w:t>
      </w:r>
      <w:r w:rsidRPr="090C4359" w:rsidR="00DD3653">
        <w:rPr>
          <w:rStyle w:val="FootnoteReference"/>
          <w:rFonts w:asciiTheme="minorHAnsi" w:hAnsiTheme="minorHAnsi" w:cstheme="minorBidi"/>
          <w:sz w:val="22"/>
          <w:szCs w:val="22"/>
        </w:rPr>
        <w:footnoteReference w:id="187"/>
      </w:r>
      <w:r w:rsidRPr="090C4359" w:rsidR="00DD3653">
        <w:rPr>
          <w:rFonts w:asciiTheme="minorHAnsi" w:hAnsiTheme="minorHAnsi" w:cstheme="minorBidi"/>
          <w:sz w:val="22"/>
          <w:szCs w:val="22"/>
        </w:rPr>
        <w:t xml:space="preserve">  </w:t>
      </w:r>
    </w:p>
    <w:p w:rsidRPr="0014596E" w:rsidR="008749B2" w:rsidP="008749B2" w:rsidRDefault="008749B2" w14:paraId="77B14A44" w14:textId="77777777">
      <w:pPr>
        <w:pStyle w:val="Normal0"/>
        <w:ind w:left="720"/>
        <w:rPr>
          <w:rFonts w:asciiTheme="minorHAnsi" w:hAnsiTheme="minorHAnsi" w:cstheme="minorHAnsi"/>
          <w:sz w:val="22"/>
          <w:szCs w:val="22"/>
        </w:rPr>
      </w:pPr>
    </w:p>
    <w:p w:rsidRPr="000F4D84" w:rsidR="007F6AE4" w:rsidP="003768ED" w:rsidRDefault="00F5391E" w14:paraId="5CAD38A3" w14:textId="5F3F5FFC">
      <w:pPr>
        <w:pStyle w:val="Normal0"/>
        <w:numPr>
          <w:ilvl w:val="0"/>
          <w:numId w:val="2"/>
        </w:numPr>
        <w:jc w:val="both"/>
        <w:rPr>
          <w:rFonts w:asciiTheme="minorHAnsi" w:hAnsiTheme="minorHAnsi" w:cstheme="minorHAnsi"/>
          <w:sz w:val="22"/>
          <w:szCs w:val="22"/>
        </w:rPr>
      </w:pPr>
      <w:r w:rsidRPr="090C4359">
        <w:rPr>
          <w:rFonts w:asciiTheme="minorHAnsi" w:hAnsiTheme="minorHAnsi" w:cstheme="minorBidi"/>
          <w:sz w:val="22"/>
          <w:szCs w:val="22"/>
        </w:rPr>
        <w:t xml:space="preserve">Being the parent of a child who has </w:t>
      </w:r>
      <w:r w:rsidRPr="090C4359" w:rsidR="00263468">
        <w:rPr>
          <w:rFonts w:asciiTheme="minorHAnsi" w:hAnsiTheme="minorHAnsi" w:cstheme="minorBidi"/>
          <w:sz w:val="22"/>
          <w:szCs w:val="22"/>
        </w:rPr>
        <w:t xml:space="preserve">received care </w:t>
      </w:r>
      <w:r w:rsidRPr="090C4359">
        <w:rPr>
          <w:rFonts w:asciiTheme="minorHAnsi" w:hAnsiTheme="minorHAnsi" w:cstheme="minorBidi"/>
          <w:sz w:val="22"/>
          <w:szCs w:val="22"/>
        </w:rPr>
        <w:t xml:space="preserve">in the PICU can have </w:t>
      </w:r>
      <w:r w:rsidRPr="090C4359" w:rsidR="00263468">
        <w:rPr>
          <w:rFonts w:asciiTheme="minorHAnsi" w:hAnsiTheme="minorHAnsi" w:cstheme="minorBidi"/>
          <w:sz w:val="22"/>
          <w:szCs w:val="22"/>
        </w:rPr>
        <w:t xml:space="preserve">both </w:t>
      </w:r>
      <w:r w:rsidRPr="090C4359" w:rsidR="00B6731C">
        <w:rPr>
          <w:rFonts w:asciiTheme="minorHAnsi" w:hAnsiTheme="minorHAnsi" w:cstheme="minorBidi"/>
          <w:sz w:val="22"/>
          <w:szCs w:val="22"/>
        </w:rPr>
        <w:t>short</w:t>
      </w:r>
      <w:r w:rsidRPr="090C4359" w:rsidR="00263468">
        <w:rPr>
          <w:rFonts w:asciiTheme="minorHAnsi" w:hAnsiTheme="minorHAnsi" w:cstheme="minorBidi"/>
          <w:sz w:val="22"/>
          <w:szCs w:val="22"/>
        </w:rPr>
        <w:t xml:space="preserve"> and </w:t>
      </w:r>
      <w:r w:rsidRPr="090C4359" w:rsidR="00B6731C">
        <w:rPr>
          <w:rFonts w:asciiTheme="minorHAnsi" w:hAnsiTheme="minorHAnsi" w:cstheme="minorBidi"/>
          <w:sz w:val="22"/>
          <w:szCs w:val="22"/>
        </w:rPr>
        <w:t>long</w:t>
      </w:r>
      <w:r w:rsidRPr="090C4359" w:rsidR="000D70D8">
        <w:rPr>
          <w:rFonts w:asciiTheme="minorHAnsi" w:hAnsiTheme="minorHAnsi" w:cstheme="minorBidi"/>
          <w:sz w:val="22"/>
          <w:szCs w:val="22"/>
        </w:rPr>
        <w:t>-</w:t>
      </w:r>
      <w:r w:rsidRPr="090C4359" w:rsidR="00263468">
        <w:rPr>
          <w:rFonts w:asciiTheme="minorHAnsi" w:hAnsiTheme="minorHAnsi" w:cstheme="minorBidi"/>
          <w:sz w:val="22"/>
          <w:szCs w:val="22"/>
        </w:rPr>
        <w:t xml:space="preserve">term psychological implications. </w:t>
      </w:r>
      <w:r w:rsidRPr="090C4359" w:rsidR="00CD596E">
        <w:rPr>
          <w:rFonts w:asciiTheme="minorHAnsi" w:hAnsiTheme="minorHAnsi" w:cstheme="minorBidi"/>
          <w:sz w:val="22"/>
          <w:szCs w:val="22"/>
        </w:rPr>
        <w:t>Abela et al</w:t>
      </w:r>
      <w:r w:rsidRPr="090C4359" w:rsidR="00F045FC">
        <w:rPr>
          <w:rFonts w:asciiTheme="minorHAnsi" w:hAnsiTheme="minorHAnsi" w:cstheme="minorBidi"/>
          <w:sz w:val="22"/>
          <w:szCs w:val="22"/>
        </w:rPr>
        <w:t>’s review</w:t>
      </w:r>
      <w:r w:rsidRPr="090C4359" w:rsidR="00476E2D">
        <w:rPr>
          <w:rFonts w:asciiTheme="minorHAnsi" w:hAnsiTheme="minorHAnsi" w:cstheme="minorBidi"/>
          <w:sz w:val="22"/>
          <w:szCs w:val="22"/>
        </w:rPr>
        <w:t xml:space="preserve"> reveals that </w:t>
      </w:r>
      <w:r w:rsidRPr="090C4359" w:rsidR="00DC7826">
        <w:rPr>
          <w:rFonts w:asciiTheme="minorHAnsi" w:hAnsiTheme="minorHAnsi" w:cstheme="minorBidi"/>
          <w:sz w:val="22"/>
          <w:szCs w:val="22"/>
        </w:rPr>
        <w:t>parents suffered a ‘significant psychological impact’,</w:t>
      </w:r>
      <w:r w:rsidRPr="090C4359" w:rsidR="00DC7826">
        <w:rPr>
          <w:rFonts w:asciiTheme="minorHAnsi" w:hAnsiTheme="minorHAnsi" w:cstheme="minorBidi"/>
          <w:color w:val="0070C0"/>
          <w:sz w:val="22"/>
          <w:szCs w:val="22"/>
        </w:rPr>
        <w:t xml:space="preserve"> </w:t>
      </w:r>
      <w:r w:rsidRPr="090C4359" w:rsidR="00DC7826">
        <w:rPr>
          <w:rFonts w:asciiTheme="minorHAnsi" w:hAnsiTheme="minorHAnsi" w:cstheme="minorBidi"/>
          <w:sz w:val="22"/>
          <w:szCs w:val="22"/>
        </w:rPr>
        <w:t>with</w:t>
      </w:r>
      <w:r w:rsidRPr="090C4359" w:rsidR="00C90173">
        <w:rPr>
          <w:rFonts w:asciiTheme="minorHAnsi" w:hAnsiTheme="minorHAnsi" w:cstheme="minorBidi"/>
          <w:sz w:val="22"/>
          <w:szCs w:val="22"/>
        </w:rPr>
        <w:t xml:space="preserve"> the findings from the </w:t>
      </w:r>
      <w:r w:rsidRPr="090C4359" w:rsidR="00F13495">
        <w:rPr>
          <w:rFonts w:asciiTheme="minorHAnsi" w:hAnsiTheme="minorHAnsi" w:cstheme="minorBidi"/>
          <w:sz w:val="22"/>
          <w:szCs w:val="22"/>
        </w:rPr>
        <w:t xml:space="preserve">19 studies reviewed showing </w:t>
      </w:r>
      <w:r w:rsidRPr="090C4359" w:rsidR="00946870">
        <w:rPr>
          <w:rFonts w:asciiTheme="minorHAnsi" w:hAnsiTheme="minorHAnsi" w:cstheme="minorBidi"/>
          <w:sz w:val="22"/>
          <w:szCs w:val="22"/>
        </w:rPr>
        <w:t>up to 60% of</w:t>
      </w:r>
      <w:r w:rsidRPr="090C4359" w:rsidR="007A2836">
        <w:rPr>
          <w:rFonts w:asciiTheme="minorHAnsi" w:hAnsiTheme="minorHAnsi" w:cstheme="minorBidi"/>
          <w:sz w:val="22"/>
          <w:szCs w:val="22"/>
        </w:rPr>
        <w:t xml:space="preserve"> </w:t>
      </w:r>
      <w:r w:rsidRPr="090C4359" w:rsidR="00946870">
        <w:rPr>
          <w:rFonts w:asciiTheme="minorHAnsi" w:hAnsiTheme="minorHAnsi" w:cstheme="minorBidi"/>
          <w:sz w:val="22"/>
          <w:szCs w:val="22"/>
        </w:rPr>
        <w:t xml:space="preserve"> parents </w:t>
      </w:r>
      <w:r w:rsidRPr="090C4359" w:rsidR="00111AB3">
        <w:rPr>
          <w:rFonts w:asciiTheme="minorHAnsi" w:hAnsiTheme="minorHAnsi" w:cstheme="minorBidi"/>
          <w:sz w:val="22"/>
          <w:szCs w:val="22"/>
        </w:rPr>
        <w:t>experiencing</w:t>
      </w:r>
      <w:r w:rsidRPr="090C4359" w:rsidR="00946870">
        <w:rPr>
          <w:rFonts w:asciiTheme="minorHAnsi" w:hAnsiTheme="minorHAnsi" w:cstheme="minorBidi"/>
          <w:sz w:val="22"/>
          <w:szCs w:val="22"/>
        </w:rPr>
        <w:t xml:space="preserve"> anxiety</w:t>
      </w:r>
      <w:r w:rsidRPr="090C4359" w:rsidR="00B6731C">
        <w:rPr>
          <w:rFonts w:asciiTheme="minorHAnsi" w:hAnsiTheme="minorHAnsi" w:cstheme="minorBidi"/>
          <w:sz w:val="22"/>
          <w:szCs w:val="22"/>
        </w:rPr>
        <w:t xml:space="preserve"> and 50% suffering depression</w:t>
      </w:r>
      <w:r w:rsidRPr="090C4359" w:rsidR="00976CC1">
        <w:rPr>
          <w:rFonts w:asciiTheme="minorHAnsi" w:hAnsiTheme="minorHAnsi" w:cstheme="minorBidi"/>
          <w:sz w:val="22"/>
          <w:szCs w:val="22"/>
        </w:rPr>
        <w:t xml:space="preserve"> </w:t>
      </w:r>
      <w:r w:rsidRPr="090C4359" w:rsidR="00946870">
        <w:rPr>
          <w:rFonts w:asciiTheme="minorHAnsi" w:hAnsiTheme="minorHAnsi" w:cstheme="minorBidi"/>
          <w:sz w:val="22"/>
          <w:szCs w:val="22"/>
        </w:rPr>
        <w:t xml:space="preserve">within a day of admission and for up to </w:t>
      </w:r>
      <w:r w:rsidRPr="090C4359" w:rsidR="00B6731C">
        <w:rPr>
          <w:rFonts w:asciiTheme="minorHAnsi" w:hAnsiTheme="minorHAnsi" w:cstheme="minorBidi"/>
          <w:sz w:val="22"/>
          <w:szCs w:val="22"/>
        </w:rPr>
        <w:t>3 months after discharge.</w:t>
      </w:r>
      <w:r w:rsidRPr="090C4359" w:rsidR="00CD596E">
        <w:rPr>
          <w:rStyle w:val="FootnoteReference"/>
          <w:rFonts w:asciiTheme="minorHAnsi" w:hAnsiTheme="minorHAnsi" w:cstheme="minorBidi"/>
          <w:sz w:val="22"/>
          <w:szCs w:val="22"/>
        </w:rPr>
        <w:footnoteReference w:id="188"/>
      </w:r>
      <w:r w:rsidRPr="090C4359" w:rsidR="00CA43DA">
        <w:rPr>
          <w:rFonts w:asciiTheme="minorHAnsi" w:hAnsiTheme="minorHAnsi" w:cstheme="minorBidi"/>
          <w:sz w:val="22"/>
          <w:szCs w:val="22"/>
        </w:rPr>
        <w:t xml:space="preserve"> </w:t>
      </w:r>
      <w:r w:rsidRPr="090C4359" w:rsidR="008749B2">
        <w:rPr>
          <w:rFonts w:asciiTheme="minorHAnsi" w:hAnsiTheme="minorHAnsi" w:cstheme="minorBidi"/>
          <w:sz w:val="22"/>
          <w:szCs w:val="22"/>
        </w:rPr>
        <w:t>This was also borne out in a Canadian empirical study</w:t>
      </w:r>
      <w:r w:rsidRPr="090C4359" w:rsidR="00F12E4F">
        <w:rPr>
          <w:rFonts w:asciiTheme="minorHAnsi" w:hAnsiTheme="minorHAnsi" w:cstheme="minorBidi"/>
          <w:sz w:val="22"/>
          <w:szCs w:val="22"/>
        </w:rPr>
        <w:t xml:space="preserve"> </w:t>
      </w:r>
      <w:r w:rsidRPr="090C4359" w:rsidR="008749B2">
        <w:rPr>
          <w:rFonts w:asciiTheme="minorHAnsi" w:hAnsiTheme="minorHAnsi" w:cstheme="minorBidi"/>
          <w:sz w:val="22"/>
          <w:szCs w:val="22"/>
        </w:rPr>
        <w:t>looking at the prevalence and factors associated with psychological impact and decisional conflict for parents with children in the PICU</w:t>
      </w:r>
      <w:r w:rsidRPr="090C4359" w:rsidR="000E3182">
        <w:rPr>
          <w:rFonts w:asciiTheme="minorHAnsi" w:hAnsiTheme="minorHAnsi" w:cstheme="minorBidi"/>
          <w:sz w:val="22"/>
          <w:szCs w:val="22"/>
        </w:rPr>
        <w:t>.</w:t>
      </w:r>
      <w:r w:rsidRPr="090C4359" w:rsidR="000E3182">
        <w:rPr>
          <w:rStyle w:val="FootnoteReference"/>
          <w:rFonts w:asciiTheme="minorHAnsi" w:hAnsiTheme="minorHAnsi" w:cstheme="minorBidi"/>
          <w:sz w:val="22"/>
          <w:szCs w:val="22"/>
        </w:rPr>
        <w:footnoteReference w:id="189"/>
      </w:r>
      <w:r w:rsidRPr="090C4359" w:rsidR="009C2DF2">
        <w:rPr>
          <w:rFonts w:asciiTheme="minorHAnsi" w:hAnsiTheme="minorHAnsi" w:cstheme="minorBidi"/>
          <w:sz w:val="22"/>
          <w:szCs w:val="22"/>
        </w:rPr>
        <w:t xml:space="preserve"> </w:t>
      </w:r>
      <w:r w:rsidRPr="090C4359" w:rsidR="00985B07">
        <w:rPr>
          <w:rFonts w:asciiTheme="minorHAnsi" w:hAnsiTheme="minorHAnsi" w:cstheme="minorBidi"/>
          <w:sz w:val="22"/>
          <w:szCs w:val="22"/>
        </w:rPr>
        <w:t>Additionally, parents may be diagnosed with P</w:t>
      </w:r>
      <w:r w:rsidRPr="090C4359" w:rsidR="00E4651E">
        <w:rPr>
          <w:rFonts w:asciiTheme="minorHAnsi" w:hAnsiTheme="minorHAnsi" w:cstheme="minorBidi"/>
          <w:sz w:val="22"/>
          <w:szCs w:val="22"/>
        </w:rPr>
        <w:t xml:space="preserve">ost </w:t>
      </w:r>
      <w:r w:rsidRPr="090C4359" w:rsidR="00985B07">
        <w:rPr>
          <w:rFonts w:asciiTheme="minorHAnsi" w:hAnsiTheme="minorHAnsi" w:cstheme="minorBidi"/>
          <w:sz w:val="22"/>
          <w:szCs w:val="22"/>
        </w:rPr>
        <w:t>T</w:t>
      </w:r>
      <w:r w:rsidRPr="090C4359" w:rsidR="00E4651E">
        <w:rPr>
          <w:rFonts w:asciiTheme="minorHAnsi" w:hAnsiTheme="minorHAnsi" w:cstheme="minorBidi"/>
          <w:sz w:val="22"/>
          <w:szCs w:val="22"/>
        </w:rPr>
        <w:t xml:space="preserve">raumatic </w:t>
      </w:r>
      <w:r w:rsidRPr="090C4359" w:rsidR="00985B07">
        <w:rPr>
          <w:rFonts w:asciiTheme="minorHAnsi" w:hAnsiTheme="minorHAnsi" w:cstheme="minorBidi"/>
          <w:sz w:val="22"/>
          <w:szCs w:val="22"/>
        </w:rPr>
        <w:t>S</w:t>
      </w:r>
      <w:r w:rsidRPr="090C4359" w:rsidR="00E4651E">
        <w:rPr>
          <w:rFonts w:asciiTheme="minorHAnsi" w:hAnsiTheme="minorHAnsi" w:cstheme="minorBidi"/>
          <w:sz w:val="22"/>
          <w:szCs w:val="22"/>
        </w:rPr>
        <w:t xml:space="preserve">tress </w:t>
      </w:r>
      <w:r w:rsidRPr="090C4359" w:rsidR="00985B07">
        <w:rPr>
          <w:rFonts w:asciiTheme="minorHAnsi" w:hAnsiTheme="minorHAnsi" w:cstheme="minorBidi"/>
          <w:sz w:val="22"/>
          <w:szCs w:val="22"/>
        </w:rPr>
        <w:t>D</w:t>
      </w:r>
      <w:r w:rsidRPr="090C4359" w:rsidR="00E57658">
        <w:rPr>
          <w:rFonts w:asciiTheme="minorHAnsi" w:hAnsiTheme="minorHAnsi" w:cstheme="minorBidi"/>
          <w:sz w:val="22"/>
          <w:szCs w:val="22"/>
        </w:rPr>
        <w:t>isorder (PTSD)</w:t>
      </w:r>
      <w:r w:rsidRPr="090C4359" w:rsidR="00985B07">
        <w:rPr>
          <w:rFonts w:asciiTheme="minorHAnsi" w:hAnsiTheme="minorHAnsi" w:cstheme="minorBidi"/>
          <w:sz w:val="22"/>
          <w:szCs w:val="22"/>
        </w:rPr>
        <w:t xml:space="preserve">, </w:t>
      </w:r>
      <w:r w:rsidRPr="090C4359" w:rsidR="009C2DF2">
        <w:rPr>
          <w:rFonts w:asciiTheme="minorHAnsi" w:hAnsiTheme="minorHAnsi" w:cstheme="minorBidi"/>
          <w:sz w:val="22"/>
          <w:szCs w:val="22"/>
        </w:rPr>
        <w:t>often triggered by</w:t>
      </w:r>
      <w:r w:rsidRPr="090C4359" w:rsidR="00985B07">
        <w:rPr>
          <w:rFonts w:asciiTheme="minorHAnsi" w:hAnsiTheme="minorHAnsi" w:cstheme="minorBidi"/>
          <w:sz w:val="22"/>
          <w:szCs w:val="22"/>
        </w:rPr>
        <w:t xml:space="preserve"> stress reacti</w:t>
      </w:r>
      <w:r w:rsidRPr="090C4359" w:rsidR="00585261">
        <w:rPr>
          <w:rFonts w:asciiTheme="minorHAnsi" w:hAnsiTheme="minorHAnsi" w:cstheme="minorBidi"/>
          <w:sz w:val="22"/>
          <w:szCs w:val="22"/>
        </w:rPr>
        <w:t xml:space="preserve">ons </w:t>
      </w:r>
      <w:r w:rsidRPr="090C4359" w:rsidR="00985B07">
        <w:rPr>
          <w:rFonts w:asciiTheme="minorHAnsi" w:hAnsiTheme="minorHAnsi" w:cstheme="minorBidi"/>
          <w:sz w:val="22"/>
          <w:szCs w:val="22"/>
        </w:rPr>
        <w:t>to sights and sounds</w:t>
      </w:r>
      <w:r w:rsidRPr="090C4359" w:rsidR="00866F5B">
        <w:rPr>
          <w:rFonts w:asciiTheme="minorHAnsi" w:hAnsiTheme="minorHAnsi" w:cstheme="minorBidi"/>
          <w:sz w:val="22"/>
          <w:szCs w:val="22"/>
        </w:rPr>
        <w:t>.</w:t>
      </w:r>
      <w:r w:rsidRPr="090C4359" w:rsidR="00985B07">
        <w:rPr>
          <w:rFonts w:asciiTheme="minorHAnsi" w:hAnsiTheme="minorHAnsi" w:cstheme="minorBidi"/>
          <w:sz w:val="22"/>
          <w:szCs w:val="22"/>
        </w:rPr>
        <w:t xml:space="preserve"> </w:t>
      </w:r>
      <w:r w:rsidRPr="090C4359" w:rsidR="00866F5B">
        <w:rPr>
          <w:rFonts w:asciiTheme="minorHAnsi" w:hAnsiTheme="minorHAnsi" w:cstheme="minorBidi"/>
          <w:sz w:val="22"/>
          <w:szCs w:val="22"/>
        </w:rPr>
        <w:t>A</w:t>
      </w:r>
      <w:r w:rsidRPr="090C4359" w:rsidR="00985B07">
        <w:rPr>
          <w:rFonts w:asciiTheme="minorHAnsi" w:hAnsiTheme="minorHAnsi" w:cstheme="minorBidi"/>
          <w:sz w:val="22"/>
          <w:szCs w:val="22"/>
        </w:rPr>
        <w:t xml:space="preserve">s Abela et al </w:t>
      </w:r>
      <w:r w:rsidRPr="090C4359" w:rsidR="00D24F08">
        <w:rPr>
          <w:rFonts w:asciiTheme="minorHAnsi" w:hAnsiTheme="minorHAnsi" w:cstheme="minorBidi"/>
          <w:sz w:val="22"/>
          <w:szCs w:val="22"/>
        </w:rPr>
        <w:t>note that ‘[w]hen a child is admitted to the PICU, the family is immersed in an unfamiliar environment ﬁlled with unique sounds, equipment, and routines that can become frightening and overwhelming</w:t>
      </w:r>
      <w:r w:rsidRPr="090C4359" w:rsidR="002F5CC7">
        <w:rPr>
          <w:rFonts w:asciiTheme="minorHAnsi" w:hAnsiTheme="minorHAnsi" w:cstheme="minorBidi"/>
          <w:sz w:val="22"/>
          <w:szCs w:val="22"/>
        </w:rPr>
        <w:t>’</w:t>
      </w:r>
      <w:r w:rsidRPr="090C4359" w:rsidR="007D712C">
        <w:rPr>
          <w:rFonts w:asciiTheme="minorHAnsi" w:hAnsiTheme="minorHAnsi" w:cstheme="minorBidi"/>
          <w:sz w:val="22"/>
          <w:szCs w:val="22"/>
        </w:rPr>
        <w:t>.</w:t>
      </w:r>
      <w:r w:rsidRPr="090C4359" w:rsidR="00D24F08">
        <w:rPr>
          <w:rStyle w:val="FootnoteReference"/>
          <w:rFonts w:asciiTheme="minorHAnsi" w:hAnsiTheme="minorHAnsi" w:cstheme="minorBidi"/>
          <w:sz w:val="22"/>
          <w:szCs w:val="22"/>
        </w:rPr>
        <w:footnoteReference w:id="190"/>
      </w:r>
      <w:r w:rsidRPr="090C4359" w:rsidR="00985B07">
        <w:rPr>
          <w:rFonts w:asciiTheme="minorHAnsi" w:hAnsiTheme="minorHAnsi" w:cstheme="minorBidi"/>
          <w:sz w:val="22"/>
          <w:szCs w:val="22"/>
        </w:rPr>
        <w:t xml:space="preserve"> </w:t>
      </w:r>
      <w:r w:rsidRPr="090C4359" w:rsidR="007D712C">
        <w:rPr>
          <w:rFonts w:asciiTheme="minorHAnsi" w:hAnsiTheme="minorHAnsi" w:cstheme="minorBidi"/>
          <w:sz w:val="22"/>
          <w:szCs w:val="22"/>
        </w:rPr>
        <w:t xml:space="preserve"> This is </w:t>
      </w:r>
      <w:r w:rsidRPr="090C4359" w:rsidR="00985B07">
        <w:rPr>
          <w:rFonts w:asciiTheme="minorHAnsi" w:hAnsiTheme="minorHAnsi" w:cstheme="minorBidi"/>
          <w:sz w:val="22"/>
          <w:szCs w:val="22"/>
        </w:rPr>
        <w:t>an effect which can possibly last</w:t>
      </w:r>
      <w:r w:rsidRPr="090C4359" w:rsidR="001E5AAA">
        <w:rPr>
          <w:rFonts w:asciiTheme="minorHAnsi" w:hAnsiTheme="minorHAnsi" w:cstheme="minorBidi"/>
          <w:sz w:val="22"/>
          <w:szCs w:val="22"/>
        </w:rPr>
        <w:t xml:space="preserve"> for years</w:t>
      </w:r>
      <w:r w:rsidRPr="090C4359" w:rsidR="007D712C">
        <w:rPr>
          <w:rFonts w:asciiTheme="minorHAnsi" w:hAnsiTheme="minorHAnsi" w:cstheme="minorBidi"/>
          <w:sz w:val="22"/>
          <w:szCs w:val="22"/>
        </w:rPr>
        <w:t>,</w:t>
      </w:r>
      <w:r w:rsidRPr="090C4359" w:rsidR="00CA43DA">
        <w:rPr>
          <w:rStyle w:val="FootnoteReference"/>
          <w:rFonts w:asciiTheme="minorHAnsi" w:hAnsiTheme="minorHAnsi" w:cstheme="minorBidi"/>
          <w:sz w:val="22"/>
          <w:szCs w:val="22"/>
        </w:rPr>
        <w:footnoteReference w:id="191"/>
      </w:r>
      <w:r w:rsidRPr="090C4359" w:rsidR="00CA43DA">
        <w:rPr>
          <w:rFonts w:asciiTheme="minorHAnsi" w:hAnsiTheme="minorHAnsi" w:cstheme="minorBidi"/>
          <w:sz w:val="22"/>
          <w:szCs w:val="22"/>
        </w:rPr>
        <w:t xml:space="preserve"> </w:t>
      </w:r>
      <w:r w:rsidRPr="090C4359" w:rsidR="007D712C">
        <w:rPr>
          <w:rFonts w:asciiTheme="minorHAnsi" w:hAnsiTheme="minorHAnsi" w:cstheme="minorBidi"/>
          <w:sz w:val="22"/>
          <w:szCs w:val="22"/>
        </w:rPr>
        <w:t>and</w:t>
      </w:r>
      <w:r w:rsidRPr="090C4359" w:rsidR="0013301C">
        <w:rPr>
          <w:rFonts w:asciiTheme="minorHAnsi" w:hAnsiTheme="minorHAnsi" w:cstheme="minorBidi"/>
          <w:sz w:val="22"/>
          <w:szCs w:val="22"/>
        </w:rPr>
        <w:t xml:space="preserve"> </w:t>
      </w:r>
      <w:r w:rsidRPr="090C4359" w:rsidR="00B30FE8">
        <w:rPr>
          <w:rFonts w:asciiTheme="minorHAnsi" w:hAnsiTheme="minorHAnsi" w:cstheme="minorBidi"/>
          <w:sz w:val="22"/>
          <w:szCs w:val="22"/>
        </w:rPr>
        <w:t>tellingly</w:t>
      </w:r>
      <w:r w:rsidRPr="090C4359" w:rsidR="0098406A">
        <w:rPr>
          <w:rFonts w:asciiTheme="minorHAnsi" w:hAnsiTheme="minorHAnsi" w:cstheme="minorBidi"/>
          <w:sz w:val="22"/>
          <w:szCs w:val="22"/>
        </w:rPr>
        <w:t>,</w:t>
      </w:r>
      <w:r w:rsidRPr="090C4359" w:rsidR="007D712C">
        <w:rPr>
          <w:rFonts w:asciiTheme="minorHAnsi" w:hAnsiTheme="minorHAnsi" w:cstheme="minorBidi"/>
          <w:sz w:val="22"/>
          <w:szCs w:val="22"/>
        </w:rPr>
        <w:t xml:space="preserve"> Stremler et al’s study found that </w:t>
      </w:r>
      <w:r w:rsidRPr="090C4359" w:rsidR="003A01BE">
        <w:rPr>
          <w:rFonts w:asciiTheme="minorHAnsi" w:hAnsiTheme="minorHAnsi" w:cstheme="minorBidi"/>
          <w:sz w:val="22"/>
          <w:szCs w:val="22"/>
        </w:rPr>
        <w:t xml:space="preserve">the extent of later PTSD had a positive correlation to the </w:t>
      </w:r>
      <w:r w:rsidRPr="090C4359" w:rsidR="00807A2C">
        <w:rPr>
          <w:rFonts w:asciiTheme="minorHAnsi" w:hAnsiTheme="minorHAnsi" w:cstheme="minorBidi"/>
          <w:sz w:val="22"/>
          <w:szCs w:val="22"/>
        </w:rPr>
        <w:t>parents’ level of distress</w:t>
      </w:r>
      <w:r w:rsidRPr="090C4359" w:rsidR="00807A2C">
        <w:rPr>
          <w:rFonts w:asciiTheme="minorHAnsi" w:hAnsiTheme="minorHAnsi" w:cstheme="minorBidi"/>
        </w:rPr>
        <w:t xml:space="preserve"> </w:t>
      </w:r>
      <w:r w:rsidRPr="090C4359" w:rsidR="00807A2C">
        <w:rPr>
          <w:rFonts w:asciiTheme="minorHAnsi" w:hAnsiTheme="minorHAnsi" w:cstheme="minorBidi"/>
          <w:sz w:val="22"/>
          <w:szCs w:val="22"/>
        </w:rPr>
        <w:t xml:space="preserve">at PICU admission, and not on the </w:t>
      </w:r>
      <w:r w:rsidRPr="090C4359" w:rsidR="00473218">
        <w:rPr>
          <w:rFonts w:asciiTheme="minorHAnsi" w:hAnsiTheme="minorHAnsi" w:cstheme="minorBidi"/>
          <w:sz w:val="22"/>
          <w:szCs w:val="22"/>
        </w:rPr>
        <w:t>child’s illness severity’</w:t>
      </w:r>
      <w:r w:rsidRPr="090C4359" w:rsidR="00585261">
        <w:rPr>
          <w:rFonts w:asciiTheme="minorHAnsi" w:hAnsiTheme="minorHAnsi" w:cstheme="minorBidi"/>
          <w:sz w:val="22"/>
          <w:szCs w:val="22"/>
        </w:rPr>
        <w:t>.</w:t>
      </w:r>
      <w:r w:rsidRPr="090C4359" w:rsidR="00585261">
        <w:rPr>
          <w:rStyle w:val="FootnoteReference"/>
          <w:rFonts w:asciiTheme="minorHAnsi" w:hAnsiTheme="minorHAnsi" w:cstheme="minorBidi"/>
          <w:sz w:val="22"/>
          <w:szCs w:val="22"/>
        </w:rPr>
        <w:footnoteReference w:id="192"/>
      </w:r>
      <w:r w:rsidRPr="090C4359" w:rsidR="00394AD5">
        <w:rPr>
          <w:rFonts w:asciiTheme="minorHAnsi" w:hAnsiTheme="minorHAnsi" w:cstheme="minorBidi"/>
          <w:sz w:val="22"/>
          <w:szCs w:val="22"/>
        </w:rPr>
        <w:t xml:space="preserve"> </w:t>
      </w:r>
    </w:p>
    <w:p w:rsidRPr="000F4D84" w:rsidR="007F6AE4" w:rsidP="007F6AE4" w:rsidRDefault="007F6AE4" w14:paraId="273CA5B1" w14:textId="77777777">
      <w:pPr>
        <w:pStyle w:val="Normal0"/>
        <w:ind w:left="720"/>
        <w:rPr>
          <w:rFonts w:asciiTheme="minorHAnsi" w:hAnsiTheme="minorHAnsi" w:cstheme="minorHAnsi"/>
          <w:sz w:val="22"/>
          <w:szCs w:val="22"/>
        </w:rPr>
      </w:pPr>
    </w:p>
    <w:p w:rsidRPr="000F4D84" w:rsidR="0033262B" w:rsidP="003768ED" w:rsidRDefault="00CD596E" w14:paraId="3E3687F8" w14:textId="56DEB447">
      <w:pPr>
        <w:pStyle w:val="Normal0"/>
        <w:numPr>
          <w:ilvl w:val="0"/>
          <w:numId w:val="2"/>
        </w:numPr>
        <w:jc w:val="both"/>
        <w:rPr>
          <w:rFonts w:asciiTheme="minorHAnsi" w:hAnsiTheme="minorHAnsi" w:cstheme="minorHAnsi"/>
          <w:sz w:val="22"/>
          <w:szCs w:val="22"/>
        </w:rPr>
      </w:pPr>
      <w:r w:rsidRPr="090C4359">
        <w:rPr>
          <w:rFonts w:asciiTheme="minorHAnsi" w:hAnsiTheme="minorHAnsi" w:cstheme="minorBidi"/>
          <w:sz w:val="22"/>
          <w:szCs w:val="22"/>
        </w:rPr>
        <w:t>The addition of protracted legal action adds to parental distress</w:t>
      </w:r>
      <w:r w:rsidRPr="090C4359" w:rsidR="00F63A2F">
        <w:rPr>
          <w:rFonts w:asciiTheme="minorHAnsi" w:hAnsiTheme="minorHAnsi" w:cstheme="minorBidi"/>
          <w:sz w:val="22"/>
          <w:szCs w:val="22"/>
        </w:rPr>
        <w:t>.</w:t>
      </w:r>
      <w:r w:rsidRPr="090C4359">
        <w:rPr>
          <w:rStyle w:val="FootnoteReference"/>
          <w:rFonts w:asciiTheme="minorHAnsi" w:hAnsiTheme="minorHAnsi" w:cstheme="minorBidi"/>
          <w:sz w:val="22"/>
          <w:szCs w:val="22"/>
        </w:rPr>
        <w:footnoteReference w:id="193"/>
      </w:r>
      <w:r w:rsidRPr="090C4359">
        <w:rPr>
          <w:rFonts w:asciiTheme="minorHAnsi" w:hAnsiTheme="minorHAnsi" w:cstheme="minorBidi"/>
          <w:sz w:val="22"/>
          <w:szCs w:val="22"/>
        </w:rPr>
        <w:t xml:space="preserve">  Mir, claims</w:t>
      </w:r>
      <w:r w:rsidRPr="090C4359" w:rsidR="0050064C">
        <w:rPr>
          <w:rFonts w:asciiTheme="minorHAnsi" w:hAnsiTheme="minorHAnsi" w:cstheme="minorBidi"/>
          <w:sz w:val="22"/>
          <w:szCs w:val="22"/>
        </w:rPr>
        <w:t xml:space="preserve"> it</w:t>
      </w:r>
      <w:r w:rsidRPr="090C4359">
        <w:rPr>
          <w:rFonts w:asciiTheme="minorHAnsi" w:hAnsiTheme="minorHAnsi" w:cstheme="minorBidi"/>
          <w:sz w:val="22"/>
          <w:szCs w:val="22"/>
        </w:rPr>
        <w:t xml:space="preserve"> </w:t>
      </w:r>
      <w:r w:rsidRPr="090C4359" w:rsidR="0050064C">
        <w:rPr>
          <w:rFonts w:asciiTheme="minorHAnsi" w:hAnsiTheme="minorHAnsi" w:cstheme="minorBidi"/>
          <w:sz w:val="22"/>
          <w:szCs w:val="22"/>
        </w:rPr>
        <w:t>was</w:t>
      </w:r>
      <w:r w:rsidRPr="090C4359">
        <w:rPr>
          <w:rFonts w:asciiTheme="minorHAnsi" w:hAnsiTheme="minorHAnsi" w:cstheme="minorBidi"/>
          <w:sz w:val="22"/>
          <w:szCs w:val="22"/>
        </w:rPr>
        <w:t xml:space="preserve"> </w:t>
      </w:r>
      <w:r w:rsidRPr="090C4359" w:rsidR="00A034B7">
        <w:rPr>
          <w:rFonts w:asciiTheme="minorHAnsi" w:hAnsiTheme="minorHAnsi" w:cstheme="minorBidi"/>
          <w:sz w:val="22"/>
          <w:szCs w:val="22"/>
        </w:rPr>
        <w:t>‘</w:t>
      </w:r>
      <w:r w:rsidRPr="090C4359">
        <w:rPr>
          <w:rFonts w:asciiTheme="minorHAnsi" w:hAnsiTheme="minorHAnsi" w:cstheme="minorBidi"/>
          <w:sz w:val="22"/>
          <w:szCs w:val="22"/>
        </w:rPr>
        <w:t>an enormously harrowing and traumatic experience for the parents’</w:t>
      </w:r>
      <w:r w:rsidRPr="090C4359" w:rsidR="002E252B">
        <w:rPr>
          <w:rFonts w:asciiTheme="minorHAnsi" w:hAnsiTheme="minorHAnsi" w:cstheme="minorBidi"/>
          <w:sz w:val="22"/>
          <w:szCs w:val="22"/>
        </w:rPr>
        <w:t xml:space="preserve"> in the </w:t>
      </w:r>
      <w:r w:rsidRPr="090C4359" w:rsidR="002E252B">
        <w:rPr>
          <w:rFonts w:asciiTheme="minorHAnsi" w:hAnsiTheme="minorHAnsi" w:cstheme="minorBidi"/>
          <w:i/>
          <w:iCs/>
          <w:sz w:val="22"/>
          <w:szCs w:val="22"/>
        </w:rPr>
        <w:t>Battersbee</w:t>
      </w:r>
      <w:r w:rsidRPr="090C4359" w:rsidR="002E252B">
        <w:rPr>
          <w:rFonts w:asciiTheme="minorHAnsi" w:hAnsiTheme="minorHAnsi" w:cstheme="minorBidi"/>
          <w:sz w:val="22"/>
          <w:szCs w:val="22"/>
        </w:rPr>
        <w:t xml:space="preserve"> case.</w:t>
      </w:r>
      <w:r w:rsidRPr="090C4359">
        <w:rPr>
          <w:rStyle w:val="FootnoteReference"/>
          <w:rFonts w:asciiTheme="minorHAnsi" w:hAnsiTheme="minorHAnsi" w:cstheme="minorBidi"/>
          <w:sz w:val="22"/>
          <w:szCs w:val="22"/>
        </w:rPr>
        <w:footnoteReference w:id="194"/>
      </w:r>
      <w:r w:rsidRPr="090C4359" w:rsidR="00B30FE8">
        <w:rPr>
          <w:rFonts w:asciiTheme="minorHAnsi" w:hAnsiTheme="minorHAnsi" w:cstheme="minorBidi"/>
          <w:sz w:val="22"/>
          <w:szCs w:val="22"/>
        </w:rPr>
        <w:t xml:space="preserve"> </w:t>
      </w:r>
      <w:r w:rsidRPr="090C4359" w:rsidR="0097183A">
        <w:rPr>
          <w:rFonts w:asciiTheme="minorHAnsi" w:hAnsiTheme="minorHAnsi" w:cstheme="minorBidi"/>
          <w:sz w:val="22"/>
          <w:szCs w:val="22"/>
        </w:rPr>
        <w:t xml:space="preserve">There is little evidence on the long-term impact of court proceedings on families, just an assumption in the literature that court proceedings have a negative impact on the family and are best avoided. </w:t>
      </w:r>
      <w:r w:rsidRPr="090C4359" w:rsidR="00FB1C00">
        <w:rPr>
          <w:rFonts w:asciiTheme="minorHAnsi" w:hAnsiTheme="minorHAnsi" w:cstheme="minorBidi"/>
          <w:sz w:val="22"/>
          <w:szCs w:val="22"/>
        </w:rPr>
        <w:t>Such a view is</w:t>
      </w:r>
      <w:r w:rsidRPr="090C4359" w:rsidR="00C728A5">
        <w:rPr>
          <w:rFonts w:asciiTheme="minorHAnsi" w:hAnsiTheme="minorHAnsi" w:cstheme="minorBidi"/>
          <w:sz w:val="22"/>
          <w:szCs w:val="22"/>
        </w:rPr>
        <w:t xml:space="preserve"> borne out in a recent interview with the parents of Charlie Gard for ITV,</w:t>
      </w:r>
      <w:r w:rsidRPr="090C4359" w:rsidR="00A32B3E">
        <w:rPr>
          <w:rFonts w:asciiTheme="minorHAnsi" w:hAnsiTheme="minorHAnsi" w:cstheme="minorBidi"/>
          <w:sz w:val="22"/>
          <w:szCs w:val="22"/>
        </w:rPr>
        <w:t xml:space="preserve"> in which they</w:t>
      </w:r>
      <w:r w:rsidRPr="090C4359" w:rsidR="00C728A5">
        <w:rPr>
          <w:rFonts w:asciiTheme="minorHAnsi" w:hAnsiTheme="minorHAnsi" w:cstheme="minorBidi"/>
          <w:sz w:val="22"/>
          <w:szCs w:val="22"/>
        </w:rPr>
        <w:t xml:space="preserve"> </w:t>
      </w:r>
      <w:r w:rsidRPr="090C4359" w:rsidR="001E7DE9">
        <w:rPr>
          <w:rFonts w:asciiTheme="minorHAnsi" w:hAnsiTheme="minorHAnsi" w:cstheme="minorBidi"/>
          <w:sz w:val="22"/>
          <w:szCs w:val="22"/>
        </w:rPr>
        <w:t>say</w:t>
      </w:r>
      <w:r w:rsidRPr="090C4359" w:rsidR="00C728A5">
        <w:rPr>
          <w:rFonts w:asciiTheme="minorHAnsi" w:hAnsiTheme="minorHAnsi" w:cstheme="minorBidi"/>
          <w:sz w:val="22"/>
          <w:szCs w:val="22"/>
        </w:rPr>
        <w:t xml:space="preserve"> that 5 years on from their experiences, ‘no time or distance has been able to erase the pain they feel every day. And the trauma of the court battle, is still very much with them’.</w:t>
      </w:r>
      <w:r w:rsidRPr="090C4359" w:rsidR="00C728A5">
        <w:rPr>
          <w:rStyle w:val="FootnoteReference"/>
          <w:rFonts w:asciiTheme="minorHAnsi" w:hAnsiTheme="minorHAnsi" w:cstheme="minorBidi"/>
          <w:sz w:val="22"/>
          <w:szCs w:val="22"/>
        </w:rPr>
        <w:footnoteReference w:id="195"/>
      </w:r>
      <w:r w:rsidRPr="090C4359" w:rsidR="00C728A5">
        <w:rPr>
          <w:rFonts w:asciiTheme="minorHAnsi" w:hAnsiTheme="minorHAnsi" w:cstheme="minorBidi"/>
          <w:sz w:val="22"/>
          <w:szCs w:val="22"/>
        </w:rPr>
        <w:t xml:space="preserve"> </w:t>
      </w:r>
      <w:r w:rsidRPr="090C4359" w:rsidR="00806253">
        <w:rPr>
          <w:rFonts w:asciiTheme="minorHAnsi" w:hAnsiTheme="minorHAnsi" w:cstheme="minorBidi"/>
          <w:sz w:val="22"/>
          <w:szCs w:val="22"/>
        </w:rPr>
        <w:t>Yet for some families, the picture may be more complex.</w:t>
      </w:r>
      <w:r w:rsidRPr="090C4359" w:rsidR="00C728A5">
        <w:rPr>
          <w:rFonts w:asciiTheme="minorHAnsi" w:hAnsiTheme="minorHAnsi" w:cstheme="minorBidi"/>
          <w:sz w:val="22"/>
          <w:szCs w:val="22"/>
        </w:rPr>
        <w:t xml:space="preserve"> </w:t>
      </w:r>
      <w:r w:rsidRPr="090C4359" w:rsidR="00806253">
        <w:rPr>
          <w:rFonts w:asciiTheme="minorHAnsi" w:hAnsiTheme="minorHAnsi" w:cstheme="minorBidi"/>
          <w:sz w:val="22"/>
          <w:szCs w:val="22"/>
        </w:rPr>
        <w:t xml:space="preserve">Also </w:t>
      </w:r>
      <w:r w:rsidRPr="090C4359" w:rsidR="00EF317E">
        <w:rPr>
          <w:rFonts w:asciiTheme="minorHAnsi" w:hAnsiTheme="minorHAnsi" w:cstheme="minorBidi"/>
          <w:sz w:val="22"/>
          <w:szCs w:val="22"/>
        </w:rPr>
        <w:t xml:space="preserve">writing on the </w:t>
      </w:r>
      <w:r w:rsidRPr="090C4359" w:rsidR="00EF317E">
        <w:rPr>
          <w:rFonts w:asciiTheme="minorHAnsi" w:hAnsiTheme="minorHAnsi" w:cstheme="minorBidi"/>
          <w:i/>
          <w:iCs/>
          <w:sz w:val="22"/>
          <w:szCs w:val="22"/>
        </w:rPr>
        <w:t>Battersbee</w:t>
      </w:r>
      <w:r w:rsidRPr="090C4359" w:rsidR="00EF317E">
        <w:rPr>
          <w:rFonts w:asciiTheme="minorHAnsi" w:hAnsiTheme="minorHAnsi" w:cstheme="minorBidi"/>
          <w:sz w:val="22"/>
          <w:szCs w:val="22"/>
        </w:rPr>
        <w:t xml:space="preserve"> case, </w:t>
      </w:r>
      <w:r w:rsidRPr="090C4359" w:rsidR="00B30FE8">
        <w:rPr>
          <w:rFonts w:asciiTheme="minorHAnsi" w:hAnsiTheme="minorHAnsi" w:cstheme="minorBidi"/>
          <w:sz w:val="22"/>
          <w:szCs w:val="22"/>
        </w:rPr>
        <w:t xml:space="preserve">Sokol </w:t>
      </w:r>
      <w:r w:rsidRPr="090C4359" w:rsidR="00C15361">
        <w:rPr>
          <w:rFonts w:asciiTheme="minorHAnsi" w:hAnsiTheme="minorHAnsi" w:cstheme="minorBidi"/>
          <w:sz w:val="22"/>
          <w:szCs w:val="22"/>
        </w:rPr>
        <w:t>opines the ‘</w:t>
      </w:r>
      <w:r w:rsidRPr="090C4359" w:rsidR="00B30FE8">
        <w:rPr>
          <w:rFonts w:asciiTheme="minorHAnsi" w:hAnsiTheme="minorHAnsi" w:cstheme="minorBidi"/>
          <w:sz w:val="22"/>
          <w:szCs w:val="22"/>
        </w:rPr>
        <w:t>further ordeals</w:t>
      </w:r>
      <w:r w:rsidRPr="090C4359" w:rsidR="00C15361">
        <w:rPr>
          <w:rFonts w:asciiTheme="minorHAnsi" w:hAnsiTheme="minorHAnsi" w:cstheme="minorBidi"/>
          <w:sz w:val="22"/>
          <w:szCs w:val="22"/>
        </w:rPr>
        <w:t>’</w:t>
      </w:r>
      <w:r w:rsidRPr="090C4359" w:rsidR="0075257B">
        <w:rPr>
          <w:rFonts w:asciiTheme="minorHAnsi" w:hAnsiTheme="minorHAnsi" w:cstheme="minorBidi"/>
          <w:sz w:val="22"/>
          <w:szCs w:val="22"/>
        </w:rPr>
        <w:t xml:space="preserve"> of multiple legal challenges</w:t>
      </w:r>
      <w:r w:rsidRPr="090C4359" w:rsidR="00DA08C7">
        <w:rPr>
          <w:rFonts w:asciiTheme="minorHAnsi" w:hAnsiTheme="minorHAnsi" w:cstheme="minorBidi"/>
          <w:sz w:val="22"/>
          <w:szCs w:val="22"/>
        </w:rPr>
        <w:t>, which he assumes</w:t>
      </w:r>
      <w:r w:rsidRPr="090C4359" w:rsidR="00937637">
        <w:rPr>
          <w:rFonts w:asciiTheme="minorHAnsi" w:hAnsiTheme="minorHAnsi" w:cstheme="minorBidi"/>
          <w:sz w:val="22"/>
          <w:szCs w:val="22"/>
        </w:rPr>
        <w:t xml:space="preserve"> will have taken </w:t>
      </w:r>
      <w:r w:rsidRPr="090C4359" w:rsidR="001523CE">
        <w:rPr>
          <w:rFonts w:asciiTheme="minorHAnsi" w:hAnsiTheme="minorHAnsi" w:cstheme="minorBidi"/>
          <w:sz w:val="22"/>
          <w:szCs w:val="22"/>
        </w:rPr>
        <w:t>their</w:t>
      </w:r>
      <w:r w:rsidRPr="090C4359" w:rsidR="00937637">
        <w:rPr>
          <w:rFonts w:asciiTheme="minorHAnsi" w:hAnsiTheme="minorHAnsi" w:cstheme="minorBidi"/>
          <w:sz w:val="22"/>
          <w:szCs w:val="22"/>
        </w:rPr>
        <w:t xml:space="preserve"> toll on Archie</w:t>
      </w:r>
      <w:r w:rsidRPr="090C4359" w:rsidR="007B32A4">
        <w:rPr>
          <w:rFonts w:asciiTheme="minorHAnsi" w:hAnsiTheme="minorHAnsi" w:cstheme="minorBidi"/>
          <w:sz w:val="22"/>
          <w:szCs w:val="22"/>
        </w:rPr>
        <w:t>’</w:t>
      </w:r>
      <w:r w:rsidRPr="090C4359" w:rsidR="00937637">
        <w:rPr>
          <w:rFonts w:asciiTheme="minorHAnsi" w:hAnsiTheme="minorHAnsi" w:cstheme="minorBidi"/>
          <w:sz w:val="22"/>
          <w:szCs w:val="22"/>
        </w:rPr>
        <w:t>s parents as they would rather have been with their child t</w:t>
      </w:r>
      <w:r w:rsidRPr="090C4359" w:rsidR="00BF31D3">
        <w:rPr>
          <w:rFonts w:asciiTheme="minorHAnsi" w:hAnsiTheme="minorHAnsi" w:cstheme="minorBidi"/>
          <w:sz w:val="22"/>
          <w:szCs w:val="22"/>
        </w:rPr>
        <w:t>h</w:t>
      </w:r>
      <w:r w:rsidRPr="090C4359" w:rsidR="00937637">
        <w:rPr>
          <w:rFonts w:asciiTheme="minorHAnsi" w:hAnsiTheme="minorHAnsi" w:cstheme="minorBidi"/>
          <w:sz w:val="22"/>
          <w:szCs w:val="22"/>
        </w:rPr>
        <w:t>an in court or instructing legal teams.</w:t>
      </w:r>
      <w:r w:rsidRPr="090C4359" w:rsidR="00B30FE8">
        <w:rPr>
          <w:rStyle w:val="FootnoteReference"/>
          <w:rFonts w:asciiTheme="minorHAnsi" w:hAnsiTheme="minorHAnsi" w:cstheme="minorBidi"/>
          <w:sz w:val="22"/>
          <w:szCs w:val="22"/>
        </w:rPr>
        <w:footnoteReference w:id="196"/>
      </w:r>
      <w:r w:rsidRPr="090C4359" w:rsidR="00806253">
        <w:rPr>
          <w:rFonts w:asciiTheme="minorHAnsi" w:hAnsiTheme="minorHAnsi" w:cstheme="minorBidi"/>
          <w:sz w:val="22"/>
          <w:szCs w:val="22"/>
        </w:rPr>
        <w:t xml:space="preserve"> However, media interviews with Hollie Dance, Archie’s mother</w:t>
      </w:r>
      <w:r w:rsidRPr="090C4359" w:rsidR="00B303EB">
        <w:rPr>
          <w:rFonts w:asciiTheme="minorHAnsi" w:hAnsiTheme="minorHAnsi" w:cstheme="minorBidi"/>
          <w:sz w:val="22"/>
          <w:szCs w:val="22"/>
        </w:rPr>
        <w:t xml:space="preserve">, </w:t>
      </w:r>
      <w:r w:rsidRPr="090C4359" w:rsidR="008F7318">
        <w:rPr>
          <w:rFonts w:asciiTheme="minorHAnsi" w:hAnsiTheme="minorHAnsi" w:cstheme="minorBidi"/>
          <w:sz w:val="22"/>
          <w:szCs w:val="22"/>
        </w:rPr>
        <w:t>reveal a more nuanced account</w:t>
      </w:r>
      <w:r w:rsidRPr="090C4359" w:rsidR="000260A4">
        <w:rPr>
          <w:rFonts w:asciiTheme="minorHAnsi" w:hAnsiTheme="minorHAnsi" w:cstheme="minorBidi"/>
          <w:sz w:val="22"/>
          <w:szCs w:val="22"/>
        </w:rPr>
        <w:t>.</w:t>
      </w:r>
      <w:r w:rsidRPr="090C4359" w:rsidR="008F7318">
        <w:rPr>
          <w:rFonts w:asciiTheme="minorHAnsi" w:hAnsiTheme="minorHAnsi" w:cstheme="minorBidi"/>
          <w:sz w:val="22"/>
          <w:szCs w:val="22"/>
        </w:rPr>
        <w:t xml:space="preserve"> </w:t>
      </w:r>
      <w:r w:rsidRPr="090C4359" w:rsidR="000260A4">
        <w:rPr>
          <w:rFonts w:asciiTheme="minorHAnsi" w:hAnsiTheme="minorHAnsi" w:cstheme="minorBidi"/>
          <w:sz w:val="22"/>
          <w:szCs w:val="22"/>
        </w:rPr>
        <w:t>On</w:t>
      </w:r>
      <w:r w:rsidRPr="090C4359" w:rsidR="008F7318">
        <w:rPr>
          <w:rFonts w:asciiTheme="minorHAnsi" w:hAnsiTheme="minorHAnsi" w:cstheme="minorBidi"/>
          <w:sz w:val="22"/>
          <w:szCs w:val="22"/>
        </w:rPr>
        <w:t xml:space="preserve"> one hand she </w:t>
      </w:r>
      <w:r w:rsidRPr="090C4359" w:rsidR="00A23EFE">
        <w:rPr>
          <w:rFonts w:asciiTheme="minorHAnsi" w:hAnsiTheme="minorHAnsi" w:cstheme="minorBidi"/>
          <w:sz w:val="22"/>
          <w:szCs w:val="22"/>
        </w:rPr>
        <w:t>recounts that</w:t>
      </w:r>
      <w:r w:rsidRPr="090C4359" w:rsidR="0033262B">
        <w:rPr>
          <w:rFonts w:asciiTheme="minorHAnsi" w:hAnsiTheme="minorHAnsi" w:cstheme="minorBidi"/>
          <w:sz w:val="22"/>
          <w:szCs w:val="22"/>
        </w:rPr>
        <w:t xml:space="preserve"> ‘I feel we were stripped of all our rights and backed into a corner by the system and, I’ve explained before, it felt like we were on trial’</w:t>
      </w:r>
      <w:r w:rsidRPr="090C4359" w:rsidR="000260A4">
        <w:rPr>
          <w:rFonts w:asciiTheme="minorHAnsi" w:hAnsiTheme="minorHAnsi" w:cstheme="minorBidi"/>
          <w:sz w:val="22"/>
          <w:szCs w:val="22"/>
        </w:rPr>
        <w:t>.</w:t>
      </w:r>
      <w:r w:rsidRPr="090C4359" w:rsidR="0033262B">
        <w:rPr>
          <w:rFonts w:asciiTheme="minorHAnsi" w:hAnsiTheme="minorHAnsi" w:cstheme="minorBidi"/>
          <w:sz w:val="22"/>
          <w:szCs w:val="22"/>
        </w:rPr>
        <w:t xml:space="preserve"> </w:t>
      </w:r>
      <w:r w:rsidRPr="090C4359" w:rsidR="0033262B">
        <w:rPr>
          <w:rStyle w:val="FootnoteReference"/>
          <w:rFonts w:asciiTheme="minorHAnsi" w:hAnsiTheme="minorHAnsi" w:cstheme="minorBidi"/>
          <w:sz w:val="22"/>
          <w:szCs w:val="22"/>
        </w:rPr>
        <w:footnoteReference w:id="197"/>
      </w:r>
      <w:r w:rsidRPr="090C4359" w:rsidR="0033262B">
        <w:rPr>
          <w:rFonts w:asciiTheme="minorHAnsi" w:hAnsiTheme="minorHAnsi" w:cstheme="minorBidi"/>
          <w:sz w:val="22"/>
          <w:szCs w:val="22"/>
        </w:rPr>
        <w:t xml:space="preserve"> </w:t>
      </w:r>
      <w:r w:rsidRPr="090C4359" w:rsidR="000260A4">
        <w:rPr>
          <w:rFonts w:asciiTheme="minorHAnsi" w:hAnsiTheme="minorHAnsi" w:cstheme="minorBidi"/>
          <w:sz w:val="22"/>
          <w:szCs w:val="22"/>
        </w:rPr>
        <w:t>Yet she</w:t>
      </w:r>
      <w:r w:rsidRPr="090C4359" w:rsidR="0033262B">
        <w:rPr>
          <w:rFonts w:asciiTheme="minorHAnsi" w:hAnsiTheme="minorHAnsi" w:cstheme="minorBidi"/>
          <w:sz w:val="22"/>
          <w:szCs w:val="22"/>
        </w:rPr>
        <w:t xml:space="preserve"> also</w:t>
      </w:r>
      <w:r w:rsidRPr="090C4359" w:rsidR="00337CC3">
        <w:rPr>
          <w:rFonts w:asciiTheme="minorHAnsi" w:hAnsiTheme="minorHAnsi" w:cstheme="minorBidi"/>
          <w:sz w:val="22"/>
          <w:szCs w:val="22"/>
        </w:rPr>
        <w:t xml:space="preserve"> recognised the benefits of legal action, saying she had </w:t>
      </w:r>
      <w:r w:rsidRPr="090C4359" w:rsidR="0033262B">
        <w:rPr>
          <w:rFonts w:asciiTheme="minorHAnsi" w:hAnsiTheme="minorHAnsi" w:cstheme="minorBidi"/>
          <w:sz w:val="22"/>
          <w:szCs w:val="22"/>
        </w:rPr>
        <w:t xml:space="preserve">‘no regrets about exploring every avenue with her legal case’ and </w:t>
      </w:r>
      <w:r w:rsidRPr="090C4359" w:rsidR="008A3DD8">
        <w:rPr>
          <w:rFonts w:asciiTheme="minorHAnsi" w:hAnsiTheme="minorHAnsi" w:cstheme="minorBidi"/>
          <w:sz w:val="22"/>
          <w:szCs w:val="22"/>
        </w:rPr>
        <w:t xml:space="preserve">noting </w:t>
      </w:r>
      <w:r w:rsidRPr="090C4359" w:rsidR="0033262B">
        <w:rPr>
          <w:rFonts w:asciiTheme="minorHAnsi" w:hAnsiTheme="minorHAnsi" w:cstheme="minorBidi"/>
          <w:sz w:val="22"/>
          <w:szCs w:val="22"/>
        </w:rPr>
        <w:t xml:space="preserve">that the opportunity to utilise the legal process ‘bought us five extra months with my child’. </w:t>
      </w:r>
      <w:r w:rsidRPr="090C4359" w:rsidR="0033262B">
        <w:rPr>
          <w:rStyle w:val="FootnoteReference"/>
          <w:rFonts w:asciiTheme="minorHAnsi" w:hAnsiTheme="minorHAnsi" w:cstheme="minorBidi"/>
          <w:sz w:val="22"/>
          <w:szCs w:val="22"/>
        </w:rPr>
        <w:footnoteReference w:id="198"/>
      </w:r>
    </w:p>
    <w:p w:rsidRPr="000F4D84" w:rsidR="00A4610F" w:rsidP="00A4610F" w:rsidRDefault="00A4610F" w14:paraId="3CA2558C" w14:textId="77777777">
      <w:pPr>
        <w:pStyle w:val="Normal0"/>
        <w:ind w:left="720"/>
        <w:rPr>
          <w:rFonts w:asciiTheme="minorHAnsi" w:hAnsiTheme="minorHAnsi" w:cstheme="minorHAnsi"/>
          <w:sz w:val="22"/>
          <w:szCs w:val="22"/>
        </w:rPr>
      </w:pPr>
    </w:p>
    <w:p w:rsidRPr="00763E94" w:rsidR="0025021B" w:rsidP="003768ED" w:rsidRDefault="00293A53" w14:paraId="159D8A84" w14:textId="6DE5383E">
      <w:pPr>
        <w:pStyle w:val="Normal0"/>
        <w:numPr>
          <w:ilvl w:val="0"/>
          <w:numId w:val="2"/>
        </w:numPr>
        <w:jc w:val="both"/>
        <w:rPr>
          <w:rFonts w:asciiTheme="minorHAnsi" w:hAnsiTheme="minorHAnsi" w:cstheme="minorHAnsi"/>
          <w:sz w:val="22"/>
          <w:szCs w:val="22"/>
        </w:rPr>
      </w:pPr>
      <w:r w:rsidRPr="090C4359">
        <w:rPr>
          <w:rFonts w:asciiTheme="minorHAnsi" w:hAnsiTheme="minorHAnsi" w:cstheme="minorBidi"/>
          <w:sz w:val="22"/>
          <w:szCs w:val="22"/>
        </w:rPr>
        <w:t xml:space="preserve">Despite </w:t>
      </w:r>
      <w:r w:rsidRPr="090C4359" w:rsidR="008F6B22">
        <w:rPr>
          <w:rFonts w:asciiTheme="minorHAnsi" w:hAnsiTheme="minorHAnsi" w:cstheme="minorBidi"/>
          <w:sz w:val="22"/>
          <w:szCs w:val="22"/>
        </w:rPr>
        <w:t>the role that healthcare professionals</w:t>
      </w:r>
      <w:r w:rsidRPr="090C4359" w:rsidR="00A4610F">
        <w:rPr>
          <w:rFonts w:asciiTheme="minorHAnsi" w:hAnsiTheme="minorHAnsi" w:cstheme="minorBidi"/>
          <w:sz w:val="22"/>
          <w:szCs w:val="22"/>
        </w:rPr>
        <w:t>,</w:t>
      </w:r>
      <w:r w:rsidRPr="090C4359" w:rsidR="008F6B22">
        <w:rPr>
          <w:rFonts w:asciiTheme="minorHAnsi" w:hAnsiTheme="minorHAnsi" w:cstheme="minorBidi"/>
          <w:sz w:val="22"/>
          <w:szCs w:val="22"/>
        </w:rPr>
        <w:t xml:space="preserve"> and sometimes the courts</w:t>
      </w:r>
      <w:r w:rsidRPr="090C4359" w:rsidR="00A4610F">
        <w:rPr>
          <w:rFonts w:asciiTheme="minorHAnsi" w:hAnsiTheme="minorHAnsi" w:cstheme="minorBidi"/>
          <w:sz w:val="22"/>
          <w:szCs w:val="22"/>
        </w:rPr>
        <w:t>,</w:t>
      </w:r>
      <w:r w:rsidRPr="090C4359" w:rsidR="008F6B22">
        <w:rPr>
          <w:rFonts w:asciiTheme="minorHAnsi" w:hAnsiTheme="minorHAnsi" w:cstheme="minorBidi"/>
          <w:sz w:val="22"/>
          <w:szCs w:val="22"/>
        </w:rPr>
        <w:t xml:space="preserve"> play in decision-making, several commen</w:t>
      </w:r>
      <w:r w:rsidRPr="090C4359" w:rsidR="00F55A15">
        <w:rPr>
          <w:rFonts w:asciiTheme="minorHAnsi" w:hAnsiTheme="minorHAnsi" w:cstheme="minorBidi"/>
          <w:sz w:val="22"/>
          <w:szCs w:val="22"/>
        </w:rPr>
        <w:t xml:space="preserve">tators point out that it is the family that have to live with the consequences of the </w:t>
      </w:r>
      <w:r w:rsidRPr="090C4359" w:rsidR="005E167E">
        <w:rPr>
          <w:rFonts w:asciiTheme="minorHAnsi" w:hAnsiTheme="minorHAnsi" w:cstheme="minorBidi"/>
          <w:sz w:val="22"/>
          <w:szCs w:val="22"/>
        </w:rPr>
        <w:t>decision.</w:t>
      </w:r>
      <w:r w:rsidRPr="090C4359" w:rsidR="00A3279E">
        <w:rPr>
          <w:rStyle w:val="FootnoteReference"/>
          <w:rFonts w:asciiTheme="minorHAnsi" w:hAnsiTheme="minorHAnsi" w:cstheme="minorBidi"/>
          <w:sz w:val="22"/>
          <w:szCs w:val="22"/>
        </w:rPr>
        <w:footnoteReference w:id="199"/>
      </w:r>
      <w:r w:rsidRPr="090C4359" w:rsidR="00191CF9">
        <w:rPr>
          <w:rFonts w:asciiTheme="minorHAnsi" w:hAnsiTheme="minorHAnsi" w:cstheme="minorBidi"/>
          <w:sz w:val="22"/>
          <w:szCs w:val="22"/>
        </w:rPr>
        <w:t xml:space="preserve"> </w:t>
      </w:r>
      <w:r w:rsidRPr="090C4359" w:rsidR="00C03D46">
        <w:rPr>
          <w:rFonts w:asciiTheme="minorHAnsi" w:hAnsiTheme="minorHAnsi" w:cstheme="minorBidi"/>
          <w:sz w:val="22"/>
          <w:szCs w:val="22"/>
        </w:rPr>
        <w:t>Macintosh and McConnell</w:t>
      </w:r>
      <w:r w:rsidRPr="090C4359" w:rsidR="00257C50">
        <w:rPr>
          <w:rFonts w:asciiTheme="minorHAnsi" w:hAnsiTheme="minorHAnsi" w:cstheme="minorBidi"/>
          <w:sz w:val="22"/>
          <w:szCs w:val="22"/>
        </w:rPr>
        <w:t xml:space="preserve"> </w:t>
      </w:r>
      <w:r w:rsidRPr="090C4359" w:rsidR="008E0D60">
        <w:rPr>
          <w:rFonts w:asciiTheme="minorHAnsi" w:hAnsiTheme="minorHAnsi" w:cstheme="minorBidi"/>
          <w:sz w:val="22"/>
          <w:szCs w:val="22"/>
        </w:rPr>
        <w:t>highlight</w:t>
      </w:r>
      <w:r w:rsidRPr="090C4359" w:rsidR="00825EE3">
        <w:rPr>
          <w:rFonts w:asciiTheme="minorHAnsi" w:hAnsiTheme="minorHAnsi" w:cstheme="minorBidi"/>
          <w:sz w:val="22"/>
          <w:szCs w:val="22"/>
        </w:rPr>
        <w:t xml:space="preserve"> the disparity between </w:t>
      </w:r>
      <w:r w:rsidRPr="090C4359" w:rsidR="00DE26F5">
        <w:rPr>
          <w:rFonts w:asciiTheme="minorHAnsi" w:hAnsiTheme="minorHAnsi" w:cstheme="minorBidi"/>
          <w:sz w:val="22"/>
          <w:szCs w:val="22"/>
        </w:rPr>
        <w:t xml:space="preserve">professionals and parents </w:t>
      </w:r>
      <w:r w:rsidRPr="090C4359" w:rsidR="00A666AB">
        <w:rPr>
          <w:rFonts w:asciiTheme="minorHAnsi" w:hAnsiTheme="minorHAnsi" w:cstheme="minorBidi"/>
          <w:sz w:val="22"/>
          <w:szCs w:val="22"/>
        </w:rPr>
        <w:t>in the courtroom</w:t>
      </w:r>
      <w:r w:rsidRPr="090C4359" w:rsidR="00774220">
        <w:rPr>
          <w:rFonts w:asciiTheme="minorHAnsi" w:hAnsiTheme="minorHAnsi" w:cstheme="minorBidi"/>
          <w:sz w:val="22"/>
          <w:szCs w:val="22"/>
        </w:rPr>
        <w:t xml:space="preserve"> – th</w:t>
      </w:r>
      <w:r w:rsidRPr="090C4359" w:rsidR="00AF623A">
        <w:rPr>
          <w:rFonts w:asciiTheme="minorHAnsi" w:hAnsiTheme="minorHAnsi" w:cstheme="minorBidi"/>
          <w:sz w:val="22"/>
          <w:szCs w:val="22"/>
        </w:rPr>
        <w:t>ey</w:t>
      </w:r>
      <w:r w:rsidRPr="090C4359" w:rsidR="00774220">
        <w:rPr>
          <w:rFonts w:asciiTheme="minorHAnsi" w:hAnsiTheme="minorHAnsi" w:cstheme="minorBidi"/>
          <w:sz w:val="22"/>
          <w:szCs w:val="22"/>
        </w:rPr>
        <w:t xml:space="preserve"> note that for </w:t>
      </w:r>
      <w:r w:rsidRPr="090C4359" w:rsidR="00744388">
        <w:rPr>
          <w:rFonts w:asciiTheme="minorHAnsi" w:hAnsiTheme="minorHAnsi" w:cstheme="minorBidi"/>
          <w:sz w:val="22"/>
          <w:szCs w:val="22"/>
        </w:rPr>
        <w:t>doctors there can be no judicial compulsion to treat</w:t>
      </w:r>
      <w:r w:rsidRPr="090C4359" w:rsidR="002F7350">
        <w:rPr>
          <w:rFonts w:asciiTheme="minorHAnsi" w:hAnsiTheme="minorHAnsi" w:cstheme="minorBidi"/>
          <w:sz w:val="22"/>
          <w:szCs w:val="22"/>
        </w:rPr>
        <w:t xml:space="preserve">, </w:t>
      </w:r>
      <w:r w:rsidRPr="090C4359" w:rsidR="00EB5BFF">
        <w:rPr>
          <w:rFonts w:asciiTheme="minorHAnsi" w:hAnsiTheme="minorHAnsi" w:cstheme="minorBidi"/>
          <w:sz w:val="22"/>
          <w:szCs w:val="22"/>
        </w:rPr>
        <w:t>so</w:t>
      </w:r>
      <w:r w:rsidRPr="090C4359" w:rsidR="002F7350">
        <w:rPr>
          <w:rFonts w:asciiTheme="minorHAnsi" w:hAnsiTheme="minorHAnsi" w:cstheme="minorBidi"/>
          <w:sz w:val="22"/>
          <w:szCs w:val="22"/>
        </w:rPr>
        <w:t xml:space="preserve"> clinical teams </w:t>
      </w:r>
      <w:r w:rsidRPr="090C4359" w:rsidR="00EB5BFF">
        <w:rPr>
          <w:rFonts w:asciiTheme="minorHAnsi" w:hAnsiTheme="minorHAnsi" w:cstheme="minorBidi"/>
          <w:sz w:val="22"/>
          <w:szCs w:val="22"/>
        </w:rPr>
        <w:t>can use</w:t>
      </w:r>
      <w:r w:rsidRPr="090C4359" w:rsidR="002F7350">
        <w:rPr>
          <w:rFonts w:asciiTheme="minorHAnsi" w:hAnsiTheme="minorHAnsi" w:cstheme="minorBidi"/>
          <w:sz w:val="22"/>
          <w:szCs w:val="22"/>
        </w:rPr>
        <w:t xml:space="preserve"> the courts ‘</w:t>
      </w:r>
      <w:r w:rsidRPr="090C4359" w:rsidR="00257C50">
        <w:rPr>
          <w:rFonts w:asciiTheme="minorHAnsi" w:hAnsiTheme="minorHAnsi" w:cstheme="minorBidi"/>
          <w:sz w:val="22"/>
          <w:szCs w:val="22"/>
        </w:rPr>
        <w:t>to green light their medical decisions or offer a judicial absolution for their consciences</w:t>
      </w:r>
      <w:r w:rsidRPr="090C4359" w:rsidR="002F7350">
        <w:rPr>
          <w:rFonts w:asciiTheme="minorHAnsi" w:hAnsiTheme="minorHAnsi" w:cstheme="minorBidi"/>
          <w:sz w:val="22"/>
          <w:szCs w:val="22"/>
        </w:rPr>
        <w:t>’.</w:t>
      </w:r>
      <w:r w:rsidRPr="090C4359" w:rsidR="00EB5BFF">
        <w:rPr>
          <w:rFonts w:asciiTheme="minorHAnsi" w:hAnsiTheme="minorHAnsi" w:cstheme="minorBidi"/>
          <w:sz w:val="22"/>
          <w:szCs w:val="22"/>
        </w:rPr>
        <w:t xml:space="preserve"> </w:t>
      </w:r>
      <w:r w:rsidRPr="090C4359" w:rsidR="004B5FB6">
        <w:rPr>
          <w:rFonts w:asciiTheme="minorHAnsi" w:hAnsiTheme="minorHAnsi" w:cstheme="minorBidi"/>
          <w:sz w:val="22"/>
          <w:szCs w:val="22"/>
        </w:rPr>
        <w:t>In contrast</w:t>
      </w:r>
      <w:r w:rsidRPr="090C4359" w:rsidR="00EB5BFF">
        <w:rPr>
          <w:rFonts w:asciiTheme="minorHAnsi" w:hAnsiTheme="minorHAnsi" w:cstheme="minorBidi"/>
          <w:sz w:val="22"/>
          <w:szCs w:val="22"/>
        </w:rPr>
        <w:t>, parents</w:t>
      </w:r>
      <w:r w:rsidRPr="090C4359" w:rsidR="004B5FB6">
        <w:rPr>
          <w:rFonts w:asciiTheme="minorHAnsi" w:hAnsiTheme="minorHAnsi" w:cstheme="minorBidi"/>
          <w:sz w:val="22"/>
          <w:szCs w:val="22"/>
        </w:rPr>
        <w:t xml:space="preserve"> are bound by court decisions, with no opportunity to argue the reasonableness or safety of their choices</w:t>
      </w:r>
      <w:r w:rsidRPr="090C4359" w:rsidR="000F42CE">
        <w:rPr>
          <w:rFonts w:asciiTheme="minorHAnsi" w:hAnsiTheme="minorHAnsi" w:cstheme="minorBidi"/>
          <w:sz w:val="22"/>
          <w:szCs w:val="22"/>
        </w:rPr>
        <w:t xml:space="preserve"> and</w:t>
      </w:r>
      <w:r w:rsidRPr="090C4359" w:rsidR="00EB5BFF">
        <w:rPr>
          <w:rFonts w:asciiTheme="minorHAnsi" w:hAnsiTheme="minorHAnsi" w:cstheme="minorBidi"/>
          <w:sz w:val="22"/>
          <w:szCs w:val="22"/>
        </w:rPr>
        <w:t xml:space="preserve"> </w:t>
      </w:r>
      <w:r w:rsidRPr="090C4359" w:rsidR="000F42CE">
        <w:rPr>
          <w:rFonts w:asciiTheme="minorHAnsi" w:hAnsiTheme="minorHAnsi" w:cstheme="minorBidi"/>
          <w:sz w:val="22"/>
          <w:szCs w:val="22"/>
        </w:rPr>
        <w:t>‘[t]</w:t>
      </w:r>
      <w:r w:rsidRPr="090C4359" w:rsidR="00257C50">
        <w:rPr>
          <w:rFonts w:asciiTheme="minorHAnsi" w:hAnsiTheme="minorHAnsi" w:cstheme="minorBidi"/>
          <w:sz w:val="22"/>
          <w:szCs w:val="22"/>
        </w:rPr>
        <w:t>hey are the individuals who bear the long-term consequences and deal with the direct impact on their family</w:t>
      </w:r>
      <w:r w:rsidRPr="090C4359" w:rsidR="009730AA">
        <w:rPr>
          <w:rFonts w:asciiTheme="minorHAnsi" w:hAnsiTheme="minorHAnsi" w:cstheme="minorBidi"/>
          <w:sz w:val="22"/>
          <w:szCs w:val="22"/>
        </w:rPr>
        <w:t>.</w:t>
      </w:r>
      <w:r w:rsidRPr="090C4359" w:rsidR="00257C50">
        <w:rPr>
          <w:rFonts w:asciiTheme="minorHAnsi" w:hAnsiTheme="minorHAnsi" w:cstheme="minorBidi"/>
          <w:sz w:val="22"/>
          <w:szCs w:val="22"/>
        </w:rPr>
        <w:t xml:space="preserve"> Clinicians and courts move on to the next patient or case.</w:t>
      </w:r>
      <w:r w:rsidRPr="090C4359" w:rsidR="00C03D46">
        <w:rPr>
          <w:rFonts w:asciiTheme="minorHAnsi" w:hAnsiTheme="minorHAnsi" w:cstheme="minorBidi"/>
          <w:sz w:val="22"/>
          <w:szCs w:val="22"/>
        </w:rPr>
        <w:t>’</w:t>
      </w:r>
      <w:r w:rsidRPr="090C4359" w:rsidR="0074487F">
        <w:rPr>
          <w:rStyle w:val="FootnoteReference"/>
          <w:rFonts w:asciiTheme="minorHAnsi" w:hAnsiTheme="minorHAnsi" w:cstheme="minorBidi"/>
          <w:sz w:val="22"/>
          <w:szCs w:val="22"/>
        </w:rPr>
        <w:footnoteReference w:id="200"/>
      </w:r>
      <w:r w:rsidRPr="090C4359" w:rsidR="00F33181">
        <w:rPr>
          <w:rFonts w:asciiTheme="minorHAnsi" w:hAnsiTheme="minorHAnsi" w:cstheme="minorBidi"/>
          <w:sz w:val="22"/>
          <w:szCs w:val="22"/>
        </w:rPr>
        <w:t xml:space="preserve"> </w:t>
      </w:r>
      <w:r w:rsidRPr="090C4359" w:rsidR="009730AA">
        <w:rPr>
          <w:rFonts w:asciiTheme="minorHAnsi" w:hAnsiTheme="minorHAnsi" w:cstheme="minorBidi"/>
          <w:sz w:val="22"/>
          <w:szCs w:val="22"/>
        </w:rPr>
        <w:t>Medical anthropologist</w:t>
      </w:r>
      <w:r w:rsidRPr="090C4359" w:rsidR="00B44856">
        <w:rPr>
          <w:rFonts w:asciiTheme="minorHAnsi" w:hAnsiTheme="minorHAnsi" w:cstheme="minorBidi"/>
          <w:sz w:val="22"/>
          <w:szCs w:val="22"/>
        </w:rPr>
        <w:t xml:space="preserve"> </w:t>
      </w:r>
      <w:r w:rsidRPr="090C4359" w:rsidR="009730AA">
        <w:rPr>
          <w:rFonts w:asciiTheme="minorHAnsi" w:hAnsiTheme="minorHAnsi" w:cstheme="minorBidi"/>
          <w:sz w:val="22"/>
          <w:szCs w:val="22"/>
        </w:rPr>
        <w:t>Coruso Brown explores p</w:t>
      </w:r>
      <w:r w:rsidRPr="090C4359" w:rsidR="002A5B2E">
        <w:rPr>
          <w:rFonts w:asciiTheme="minorHAnsi" w:hAnsiTheme="minorHAnsi" w:cstheme="minorBidi"/>
          <w:sz w:val="22"/>
          <w:szCs w:val="22"/>
        </w:rPr>
        <w:t>a</w:t>
      </w:r>
      <w:r w:rsidRPr="090C4359" w:rsidR="009730AA">
        <w:rPr>
          <w:rFonts w:asciiTheme="minorHAnsi" w:hAnsiTheme="minorHAnsi" w:cstheme="minorBidi"/>
          <w:sz w:val="22"/>
          <w:szCs w:val="22"/>
        </w:rPr>
        <w:t xml:space="preserve">ediatric end-of-life decision-making as a form of </w:t>
      </w:r>
      <w:r w:rsidRPr="090C4359" w:rsidR="0034640F">
        <w:rPr>
          <w:rFonts w:asciiTheme="minorHAnsi" w:hAnsiTheme="minorHAnsi" w:cstheme="minorBidi"/>
          <w:sz w:val="22"/>
          <w:szCs w:val="22"/>
        </w:rPr>
        <w:t>ritual</w:t>
      </w:r>
      <w:r w:rsidRPr="090C4359" w:rsidR="00E104E0">
        <w:rPr>
          <w:rFonts w:asciiTheme="minorHAnsi" w:hAnsiTheme="minorHAnsi" w:cstheme="minorBidi"/>
          <w:sz w:val="22"/>
          <w:szCs w:val="22"/>
        </w:rPr>
        <w:t>,</w:t>
      </w:r>
      <w:r w:rsidRPr="090C4359" w:rsidR="002A5B2E">
        <w:rPr>
          <w:rFonts w:asciiTheme="minorHAnsi" w:hAnsiTheme="minorHAnsi" w:cstheme="minorBidi"/>
          <w:sz w:val="22"/>
          <w:szCs w:val="22"/>
        </w:rPr>
        <w:t xml:space="preserve"> contending that</w:t>
      </w:r>
      <w:r w:rsidRPr="090C4359" w:rsidR="009730AA">
        <w:rPr>
          <w:rFonts w:asciiTheme="minorHAnsi" w:hAnsiTheme="minorHAnsi" w:cstheme="minorBidi"/>
          <w:sz w:val="22"/>
          <w:szCs w:val="22"/>
        </w:rPr>
        <w:t xml:space="preserve"> ‘</w:t>
      </w:r>
      <w:r w:rsidRPr="090C4359" w:rsidR="002A5B2E">
        <w:rPr>
          <w:rFonts w:asciiTheme="minorHAnsi" w:hAnsiTheme="minorHAnsi" w:cstheme="minorBidi"/>
          <w:sz w:val="22"/>
          <w:szCs w:val="22"/>
        </w:rPr>
        <w:t>[r]</w:t>
      </w:r>
      <w:r w:rsidRPr="090C4359" w:rsidR="009730AA">
        <w:rPr>
          <w:rFonts w:asciiTheme="minorHAnsi" w:hAnsiTheme="minorHAnsi" w:cstheme="minorBidi"/>
          <w:sz w:val="22"/>
          <w:szCs w:val="22"/>
        </w:rPr>
        <w:t>egret, or feeling that one might have done more for one’s child, is likely to cause harm that persists far beyond the child’s death, while the opposite—feeling that one has done “everything,” in the sense held by that particular parent, and been a “good” parent to that child—can facilitate long-term healing for the parent and family.</w:t>
      </w:r>
      <w:r w:rsidRPr="090C4359" w:rsidR="00394AD5">
        <w:rPr>
          <w:rFonts w:asciiTheme="minorHAnsi" w:hAnsiTheme="minorHAnsi" w:cstheme="minorBidi"/>
          <w:sz w:val="22"/>
          <w:szCs w:val="22"/>
        </w:rPr>
        <w:t>’</w:t>
      </w:r>
      <w:r w:rsidRPr="090C4359" w:rsidR="009730AA">
        <w:rPr>
          <w:rStyle w:val="FootnoteReference"/>
          <w:rFonts w:asciiTheme="minorHAnsi" w:hAnsiTheme="minorHAnsi" w:cstheme="minorBidi"/>
          <w:sz w:val="22"/>
          <w:szCs w:val="22"/>
        </w:rPr>
        <w:footnoteReference w:id="201"/>
      </w:r>
      <w:r w:rsidRPr="090C4359" w:rsidR="00F86DCB">
        <w:rPr>
          <w:rFonts w:asciiTheme="minorHAnsi" w:hAnsiTheme="minorHAnsi" w:cstheme="minorBidi"/>
          <w:sz w:val="22"/>
          <w:szCs w:val="22"/>
        </w:rPr>
        <w:t xml:space="preserve"> </w:t>
      </w:r>
      <w:r w:rsidRPr="090C4359" w:rsidR="00F33181">
        <w:rPr>
          <w:rFonts w:asciiTheme="minorHAnsi" w:hAnsiTheme="minorHAnsi" w:cstheme="minorBidi"/>
          <w:sz w:val="22"/>
          <w:szCs w:val="22"/>
        </w:rPr>
        <w:t>American</w:t>
      </w:r>
      <w:r w:rsidRPr="090C4359" w:rsidR="006E1E5F">
        <w:rPr>
          <w:rFonts w:asciiTheme="minorHAnsi" w:hAnsiTheme="minorHAnsi" w:cstheme="minorBidi"/>
          <w:sz w:val="22"/>
          <w:szCs w:val="22"/>
        </w:rPr>
        <w:t xml:space="preserve"> </w:t>
      </w:r>
      <w:r w:rsidRPr="090C4359" w:rsidR="00F33181">
        <w:rPr>
          <w:rFonts w:asciiTheme="minorHAnsi" w:hAnsiTheme="minorHAnsi" w:cstheme="minorBidi"/>
          <w:sz w:val="22"/>
          <w:szCs w:val="22"/>
        </w:rPr>
        <w:t>c</w:t>
      </w:r>
      <w:r w:rsidRPr="090C4359" w:rsidR="006E1E5F">
        <w:rPr>
          <w:rFonts w:asciiTheme="minorHAnsi" w:hAnsiTheme="minorHAnsi" w:cstheme="minorBidi"/>
          <w:sz w:val="22"/>
          <w:szCs w:val="22"/>
        </w:rPr>
        <w:t xml:space="preserve">linicians </w:t>
      </w:r>
      <w:r w:rsidRPr="090C4359" w:rsidR="00C9762C">
        <w:rPr>
          <w:rFonts w:asciiTheme="minorHAnsi" w:hAnsiTheme="minorHAnsi" w:cstheme="minorBidi"/>
          <w:sz w:val="22"/>
          <w:szCs w:val="22"/>
        </w:rPr>
        <w:t>Barlet</w:t>
      </w:r>
      <w:r w:rsidRPr="090C4359" w:rsidR="006E1E5F">
        <w:rPr>
          <w:rFonts w:asciiTheme="minorHAnsi" w:hAnsiTheme="minorHAnsi" w:cstheme="minorBidi"/>
          <w:sz w:val="22"/>
          <w:szCs w:val="22"/>
        </w:rPr>
        <w:t xml:space="preserve"> et a</w:t>
      </w:r>
      <w:r w:rsidRPr="090C4359" w:rsidR="00FE195F">
        <w:rPr>
          <w:rFonts w:asciiTheme="minorHAnsi" w:hAnsiTheme="minorHAnsi" w:cstheme="minorBidi"/>
          <w:sz w:val="22"/>
          <w:szCs w:val="22"/>
        </w:rPr>
        <w:t>l</w:t>
      </w:r>
      <w:r w:rsidRPr="090C4359" w:rsidR="00204CD9">
        <w:rPr>
          <w:rFonts w:asciiTheme="minorHAnsi" w:hAnsiTheme="minorHAnsi" w:cstheme="minorBidi"/>
          <w:sz w:val="22"/>
          <w:szCs w:val="22"/>
        </w:rPr>
        <w:t>’s</w:t>
      </w:r>
      <w:r w:rsidRPr="090C4359" w:rsidR="006E1E5F">
        <w:rPr>
          <w:rFonts w:asciiTheme="minorHAnsi" w:hAnsiTheme="minorHAnsi" w:cstheme="minorBidi"/>
          <w:sz w:val="22"/>
          <w:szCs w:val="22"/>
        </w:rPr>
        <w:t xml:space="preserve"> </w:t>
      </w:r>
      <w:r w:rsidRPr="090C4359" w:rsidR="00D32864">
        <w:rPr>
          <w:rFonts w:asciiTheme="minorHAnsi" w:hAnsiTheme="minorHAnsi" w:cstheme="minorBidi"/>
          <w:sz w:val="22"/>
          <w:szCs w:val="22"/>
        </w:rPr>
        <w:t xml:space="preserve">prospective cohort </w:t>
      </w:r>
      <w:r w:rsidRPr="090C4359" w:rsidR="006E1E5F">
        <w:rPr>
          <w:rFonts w:asciiTheme="minorHAnsi" w:hAnsiTheme="minorHAnsi" w:cstheme="minorBidi"/>
          <w:sz w:val="22"/>
          <w:szCs w:val="22"/>
        </w:rPr>
        <w:t>study</w:t>
      </w:r>
      <w:r w:rsidRPr="090C4359" w:rsidR="00877889">
        <w:rPr>
          <w:rFonts w:asciiTheme="minorHAnsi" w:hAnsiTheme="minorHAnsi" w:cstheme="minorBidi"/>
          <w:sz w:val="22"/>
          <w:szCs w:val="22"/>
        </w:rPr>
        <w:t xml:space="preserve"> found</w:t>
      </w:r>
      <w:r w:rsidRPr="090C4359" w:rsidR="001B7F9A">
        <w:rPr>
          <w:rFonts w:asciiTheme="minorHAnsi" w:hAnsiTheme="minorHAnsi" w:cstheme="minorBidi"/>
          <w:sz w:val="22"/>
          <w:szCs w:val="22"/>
        </w:rPr>
        <w:t xml:space="preserve"> that</w:t>
      </w:r>
      <w:r w:rsidRPr="090C4359" w:rsidR="00877889">
        <w:rPr>
          <w:rFonts w:asciiTheme="minorHAnsi" w:hAnsiTheme="minorHAnsi" w:cstheme="minorBidi"/>
          <w:sz w:val="22"/>
          <w:szCs w:val="22"/>
        </w:rPr>
        <w:t xml:space="preserve"> although there were high </w:t>
      </w:r>
      <w:r w:rsidRPr="090C4359" w:rsidR="00074512">
        <w:rPr>
          <w:rFonts w:asciiTheme="minorHAnsi" w:hAnsiTheme="minorHAnsi" w:cstheme="minorBidi"/>
          <w:sz w:val="22"/>
          <w:szCs w:val="22"/>
        </w:rPr>
        <w:t xml:space="preserve">levels of decisional conflict, there were also </w:t>
      </w:r>
      <w:r w:rsidRPr="090C4359" w:rsidR="00CA67D5">
        <w:rPr>
          <w:rFonts w:asciiTheme="minorHAnsi" w:hAnsiTheme="minorHAnsi" w:cstheme="minorBidi"/>
          <w:sz w:val="22"/>
          <w:szCs w:val="22"/>
        </w:rPr>
        <w:t>high rates of</w:t>
      </w:r>
      <w:r w:rsidRPr="090C4359" w:rsidR="00F720D0">
        <w:rPr>
          <w:rFonts w:asciiTheme="minorHAnsi" w:hAnsiTheme="minorHAnsi" w:cstheme="minorBidi"/>
          <w:sz w:val="22"/>
          <w:szCs w:val="22"/>
        </w:rPr>
        <w:t xml:space="preserve"> satisfaction with</w:t>
      </w:r>
      <w:r w:rsidRPr="090C4359" w:rsidR="0099072D">
        <w:rPr>
          <w:rFonts w:asciiTheme="minorHAnsi" w:hAnsiTheme="minorHAnsi" w:cstheme="minorBidi"/>
          <w:sz w:val="22"/>
          <w:szCs w:val="22"/>
        </w:rPr>
        <w:t xml:space="preserve"> the</w:t>
      </w:r>
      <w:r w:rsidRPr="090C4359" w:rsidR="00F720D0">
        <w:rPr>
          <w:rFonts w:asciiTheme="minorHAnsi" w:hAnsiTheme="minorHAnsi" w:cstheme="minorBidi"/>
          <w:sz w:val="22"/>
          <w:szCs w:val="22"/>
        </w:rPr>
        <w:t xml:space="preserve"> decision</w:t>
      </w:r>
      <w:r w:rsidRPr="090C4359" w:rsidR="008C185B">
        <w:rPr>
          <w:rFonts w:asciiTheme="minorHAnsi" w:hAnsiTheme="minorHAnsi" w:cstheme="minorBidi"/>
          <w:sz w:val="22"/>
          <w:szCs w:val="22"/>
        </w:rPr>
        <w:t>-</w:t>
      </w:r>
      <w:r w:rsidRPr="090C4359" w:rsidR="00F720D0">
        <w:rPr>
          <w:rFonts w:asciiTheme="minorHAnsi" w:hAnsiTheme="minorHAnsi" w:cstheme="minorBidi"/>
          <w:sz w:val="22"/>
          <w:szCs w:val="22"/>
        </w:rPr>
        <w:t>making</w:t>
      </w:r>
      <w:r w:rsidRPr="090C4359" w:rsidR="0099072D">
        <w:rPr>
          <w:rFonts w:asciiTheme="minorHAnsi" w:hAnsiTheme="minorHAnsi" w:cstheme="minorBidi"/>
          <w:sz w:val="22"/>
          <w:szCs w:val="22"/>
        </w:rPr>
        <w:t xml:space="preserve"> process</w:t>
      </w:r>
      <w:r w:rsidRPr="090C4359" w:rsidR="00CA67D5">
        <w:rPr>
          <w:rFonts w:asciiTheme="minorHAnsi" w:hAnsiTheme="minorHAnsi" w:cstheme="minorBidi"/>
          <w:sz w:val="22"/>
          <w:szCs w:val="22"/>
        </w:rPr>
        <w:t xml:space="preserve"> </w:t>
      </w:r>
      <w:r w:rsidRPr="090C4359" w:rsidR="00F720D0">
        <w:rPr>
          <w:rFonts w:asciiTheme="minorHAnsi" w:hAnsiTheme="minorHAnsi" w:cstheme="minorBidi"/>
          <w:sz w:val="22"/>
          <w:szCs w:val="22"/>
        </w:rPr>
        <w:t>and low rates of decision regret</w:t>
      </w:r>
      <w:r w:rsidRPr="090C4359" w:rsidR="00204CD9">
        <w:rPr>
          <w:rFonts w:asciiTheme="minorHAnsi" w:hAnsiTheme="minorHAnsi" w:cstheme="minorBidi"/>
          <w:sz w:val="22"/>
          <w:szCs w:val="22"/>
        </w:rPr>
        <w:t xml:space="preserve"> amongst parents with children in the PICU</w:t>
      </w:r>
      <w:r w:rsidRPr="090C4359" w:rsidR="00F720D0">
        <w:rPr>
          <w:rFonts w:asciiTheme="minorHAnsi" w:hAnsiTheme="minorHAnsi" w:cstheme="minorBidi"/>
          <w:sz w:val="22"/>
          <w:szCs w:val="22"/>
        </w:rPr>
        <w:t>.</w:t>
      </w:r>
      <w:r w:rsidRPr="090C4359" w:rsidR="00F720D0">
        <w:rPr>
          <w:rStyle w:val="FootnoteReference"/>
          <w:rFonts w:asciiTheme="minorHAnsi" w:hAnsiTheme="minorHAnsi" w:cstheme="minorBidi"/>
          <w:sz w:val="22"/>
          <w:szCs w:val="22"/>
        </w:rPr>
        <w:footnoteReference w:id="202"/>
      </w:r>
      <w:r w:rsidRPr="090C4359" w:rsidR="008E5857">
        <w:rPr>
          <w:rFonts w:asciiTheme="minorHAnsi" w:hAnsiTheme="minorHAnsi" w:cstheme="minorBidi"/>
          <w:sz w:val="22"/>
          <w:szCs w:val="22"/>
        </w:rPr>
        <w:t xml:space="preserve"> </w:t>
      </w:r>
      <w:r w:rsidRPr="090C4359" w:rsidR="00532A75">
        <w:rPr>
          <w:rFonts w:asciiTheme="minorHAnsi" w:hAnsiTheme="minorHAnsi" w:cstheme="minorBidi"/>
          <w:sz w:val="22"/>
          <w:szCs w:val="22"/>
        </w:rPr>
        <w:t>We may need to treat these results with caution given</w:t>
      </w:r>
      <w:r w:rsidRPr="090C4359" w:rsidR="00355ACE">
        <w:rPr>
          <w:rFonts w:asciiTheme="minorHAnsi" w:hAnsiTheme="minorHAnsi" w:cstheme="minorBidi"/>
          <w:sz w:val="22"/>
          <w:szCs w:val="22"/>
        </w:rPr>
        <w:t xml:space="preserve"> it is a US study with potential</w:t>
      </w:r>
      <w:r w:rsidRPr="090C4359" w:rsidR="00350976">
        <w:rPr>
          <w:rFonts w:asciiTheme="minorHAnsi" w:hAnsiTheme="minorHAnsi" w:cstheme="minorBidi"/>
          <w:sz w:val="22"/>
          <w:szCs w:val="22"/>
        </w:rPr>
        <w:t xml:space="preserve"> jurisdictional differen</w:t>
      </w:r>
      <w:r w:rsidRPr="090C4359" w:rsidR="008C185B">
        <w:rPr>
          <w:rFonts w:asciiTheme="minorHAnsi" w:hAnsiTheme="minorHAnsi" w:cstheme="minorBidi"/>
          <w:sz w:val="22"/>
          <w:szCs w:val="22"/>
        </w:rPr>
        <w:t>ces</w:t>
      </w:r>
      <w:r w:rsidRPr="090C4359" w:rsidR="004E4EC0">
        <w:rPr>
          <w:rFonts w:asciiTheme="minorHAnsi" w:hAnsiTheme="minorHAnsi" w:cstheme="minorBidi"/>
          <w:sz w:val="22"/>
          <w:szCs w:val="22"/>
        </w:rPr>
        <w:t xml:space="preserve"> </w:t>
      </w:r>
      <w:r w:rsidRPr="090C4359" w:rsidR="00355ACE">
        <w:rPr>
          <w:rFonts w:asciiTheme="minorHAnsi" w:hAnsiTheme="minorHAnsi" w:cstheme="minorBidi"/>
          <w:sz w:val="22"/>
          <w:szCs w:val="22"/>
        </w:rPr>
        <w:t xml:space="preserve">in </w:t>
      </w:r>
      <w:r w:rsidRPr="090C4359" w:rsidR="004E4EC0">
        <w:rPr>
          <w:rFonts w:asciiTheme="minorHAnsi" w:hAnsiTheme="minorHAnsi" w:cstheme="minorBidi"/>
          <w:sz w:val="22"/>
          <w:szCs w:val="22"/>
        </w:rPr>
        <w:t xml:space="preserve">approach to </w:t>
      </w:r>
      <w:r w:rsidRPr="090C4359" w:rsidR="00D22579">
        <w:rPr>
          <w:rFonts w:asciiTheme="minorHAnsi" w:hAnsiTheme="minorHAnsi" w:cstheme="minorBidi"/>
          <w:sz w:val="22"/>
          <w:szCs w:val="22"/>
        </w:rPr>
        <w:t>decision-making and conflict resolution,</w:t>
      </w:r>
      <w:r w:rsidRPr="090C4359" w:rsidR="00350976">
        <w:rPr>
          <w:rFonts w:asciiTheme="minorHAnsi" w:hAnsiTheme="minorHAnsi" w:cstheme="minorBidi"/>
          <w:sz w:val="22"/>
          <w:szCs w:val="22"/>
        </w:rPr>
        <w:t xml:space="preserve"> </w:t>
      </w:r>
      <w:r w:rsidRPr="090C4359" w:rsidR="00273CE5">
        <w:rPr>
          <w:rFonts w:asciiTheme="minorHAnsi" w:hAnsiTheme="minorHAnsi" w:cstheme="minorBidi"/>
          <w:sz w:val="22"/>
          <w:szCs w:val="22"/>
        </w:rPr>
        <w:t>plus</w:t>
      </w:r>
      <w:r w:rsidRPr="090C4359" w:rsidR="00350976">
        <w:rPr>
          <w:rFonts w:asciiTheme="minorHAnsi" w:hAnsiTheme="minorHAnsi" w:cstheme="minorBidi"/>
          <w:sz w:val="22"/>
          <w:szCs w:val="22"/>
        </w:rPr>
        <w:t xml:space="preserve"> the very specific patient context</w:t>
      </w:r>
      <w:r w:rsidRPr="090C4359" w:rsidR="00B54BFC">
        <w:rPr>
          <w:rFonts w:asciiTheme="minorHAnsi" w:hAnsiTheme="minorHAnsi" w:cstheme="minorBidi"/>
          <w:sz w:val="22"/>
          <w:szCs w:val="22"/>
        </w:rPr>
        <w:t xml:space="preserve"> of children with neurologic conditions</w:t>
      </w:r>
      <w:r w:rsidRPr="090C4359" w:rsidR="00350976">
        <w:rPr>
          <w:rFonts w:asciiTheme="minorHAnsi" w:hAnsiTheme="minorHAnsi" w:cstheme="minorBidi"/>
          <w:sz w:val="22"/>
          <w:szCs w:val="22"/>
        </w:rPr>
        <w:t>. However, if transferable</w:t>
      </w:r>
      <w:r w:rsidRPr="090C4359" w:rsidR="00750DE2">
        <w:rPr>
          <w:rFonts w:asciiTheme="minorHAnsi" w:hAnsiTheme="minorHAnsi" w:cstheme="minorBidi"/>
          <w:sz w:val="22"/>
          <w:szCs w:val="22"/>
        </w:rPr>
        <w:t>,</w:t>
      </w:r>
      <w:r w:rsidRPr="090C4359" w:rsidR="00350976">
        <w:rPr>
          <w:rFonts w:asciiTheme="minorHAnsi" w:hAnsiTheme="minorHAnsi" w:cstheme="minorBidi"/>
          <w:sz w:val="22"/>
          <w:szCs w:val="22"/>
        </w:rPr>
        <w:t xml:space="preserve"> these results would suggest that </w:t>
      </w:r>
      <w:r w:rsidRPr="090C4359" w:rsidR="003F5C73">
        <w:rPr>
          <w:rFonts w:asciiTheme="minorHAnsi" w:hAnsiTheme="minorHAnsi" w:cstheme="minorBidi"/>
          <w:sz w:val="22"/>
          <w:szCs w:val="22"/>
        </w:rPr>
        <w:t>conflict itself</w:t>
      </w:r>
      <w:r w:rsidRPr="090C4359" w:rsidR="00775B3E">
        <w:rPr>
          <w:rFonts w:asciiTheme="minorHAnsi" w:hAnsiTheme="minorHAnsi" w:cstheme="minorBidi"/>
          <w:sz w:val="22"/>
          <w:szCs w:val="22"/>
        </w:rPr>
        <w:t xml:space="preserve"> is not a barrier to high decision-making satisfaction or low decisional regret, </w:t>
      </w:r>
      <w:r w:rsidRPr="090C4359" w:rsidR="00327BEA">
        <w:rPr>
          <w:rFonts w:asciiTheme="minorHAnsi" w:hAnsiTheme="minorHAnsi" w:cstheme="minorBidi"/>
          <w:sz w:val="22"/>
          <w:szCs w:val="22"/>
        </w:rPr>
        <w:t>rather</w:t>
      </w:r>
      <w:r w:rsidRPr="090C4359" w:rsidR="00775B3E">
        <w:rPr>
          <w:rFonts w:asciiTheme="minorHAnsi" w:hAnsiTheme="minorHAnsi" w:cstheme="minorBidi"/>
          <w:sz w:val="22"/>
          <w:szCs w:val="22"/>
        </w:rPr>
        <w:t xml:space="preserve"> this largely depends on </w:t>
      </w:r>
      <w:r w:rsidRPr="090C4359" w:rsidR="00D12626">
        <w:rPr>
          <w:rFonts w:asciiTheme="minorHAnsi" w:hAnsiTheme="minorHAnsi" w:cstheme="minorBidi"/>
          <w:sz w:val="22"/>
          <w:szCs w:val="22"/>
        </w:rPr>
        <w:t>the support and clarity of thinking offered</w:t>
      </w:r>
      <w:r w:rsidRPr="090C4359" w:rsidR="00326A08">
        <w:rPr>
          <w:rFonts w:asciiTheme="minorHAnsi" w:hAnsiTheme="minorHAnsi" w:cstheme="minorBidi"/>
          <w:sz w:val="22"/>
          <w:szCs w:val="22"/>
        </w:rPr>
        <w:t xml:space="preserve"> to the parents.</w:t>
      </w:r>
      <w:r w:rsidRPr="090C4359" w:rsidR="00326A08">
        <w:rPr>
          <w:rStyle w:val="FootnoteReference"/>
          <w:rFonts w:asciiTheme="minorHAnsi" w:hAnsiTheme="minorHAnsi" w:cstheme="minorBidi"/>
          <w:sz w:val="22"/>
          <w:szCs w:val="22"/>
        </w:rPr>
        <w:footnoteReference w:id="203"/>
      </w:r>
    </w:p>
    <w:p w:rsidRPr="00763E94" w:rsidR="006931D5" w:rsidP="006931D5" w:rsidRDefault="006931D5" w14:paraId="10BC9A5C" w14:textId="77777777">
      <w:pPr>
        <w:pStyle w:val="Normal0"/>
        <w:ind w:left="720"/>
        <w:rPr>
          <w:rFonts w:asciiTheme="minorHAnsi" w:hAnsiTheme="minorHAnsi" w:cstheme="minorHAnsi"/>
          <w:sz w:val="22"/>
          <w:szCs w:val="22"/>
        </w:rPr>
      </w:pPr>
    </w:p>
    <w:p w:rsidRPr="00763E94" w:rsidR="0032518A" w:rsidP="003768ED" w:rsidRDefault="00557245" w14:paraId="5F5B024C" w14:textId="3754AB9A">
      <w:pPr>
        <w:pStyle w:val="Normal0"/>
        <w:numPr>
          <w:ilvl w:val="0"/>
          <w:numId w:val="2"/>
        </w:numPr>
        <w:jc w:val="both"/>
        <w:rPr>
          <w:rFonts w:asciiTheme="minorHAnsi" w:hAnsiTheme="minorHAnsi" w:cstheme="minorHAnsi"/>
          <w:sz w:val="22"/>
          <w:szCs w:val="22"/>
        </w:rPr>
      </w:pPr>
      <w:r w:rsidRPr="090C4359">
        <w:rPr>
          <w:rFonts w:asciiTheme="minorHAnsi" w:hAnsiTheme="minorHAnsi" w:cstheme="minorBidi"/>
          <w:sz w:val="22"/>
          <w:szCs w:val="22"/>
        </w:rPr>
        <w:t>The literature has also considered the</w:t>
      </w:r>
      <w:r w:rsidRPr="090C4359" w:rsidR="00030B94">
        <w:rPr>
          <w:rFonts w:asciiTheme="minorHAnsi" w:hAnsiTheme="minorHAnsi" w:cstheme="minorBidi"/>
          <w:sz w:val="22"/>
          <w:szCs w:val="22"/>
        </w:rPr>
        <w:t xml:space="preserve"> impact of</w:t>
      </w:r>
      <w:r w:rsidRPr="090C4359" w:rsidR="00DA70FB">
        <w:rPr>
          <w:rFonts w:asciiTheme="minorHAnsi" w:hAnsiTheme="minorHAnsi" w:cstheme="minorBidi"/>
          <w:sz w:val="22"/>
          <w:szCs w:val="22"/>
        </w:rPr>
        <w:t xml:space="preserve"> the</w:t>
      </w:r>
      <w:r w:rsidRPr="090C4359" w:rsidR="00030B94">
        <w:rPr>
          <w:rFonts w:asciiTheme="minorHAnsi" w:hAnsiTheme="minorHAnsi" w:cstheme="minorBidi"/>
          <w:sz w:val="22"/>
          <w:szCs w:val="22"/>
        </w:rPr>
        <w:t xml:space="preserve"> quality of</w:t>
      </w:r>
      <w:r w:rsidRPr="090C4359" w:rsidR="00DA70FB">
        <w:rPr>
          <w:rFonts w:asciiTheme="minorHAnsi" w:hAnsiTheme="minorHAnsi" w:cstheme="minorBidi"/>
          <w:sz w:val="22"/>
          <w:szCs w:val="22"/>
        </w:rPr>
        <w:t xml:space="preserve"> the</w:t>
      </w:r>
      <w:r w:rsidRPr="090C4359" w:rsidR="00030B94">
        <w:rPr>
          <w:rFonts w:asciiTheme="minorHAnsi" w:hAnsiTheme="minorHAnsi" w:cstheme="minorBidi"/>
          <w:sz w:val="22"/>
          <w:szCs w:val="22"/>
        </w:rPr>
        <w:t xml:space="preserve"> relationship between healthcare professionals and families. </w:t>
      </w:r>
      <w:r w:rsidRPr="090C4359" w:rsidR="00DA70FB">
        <w:rPr>
          <w:rFonts w:asciiTheme="minorHAnsi" w:hAnsiTheme="minorHAnsi" w:cstheme="minorBidi"/>
          <w:sz w:val="22"/>
          <w:szCs w:val="22"/>
        </w:rPr>
        <w:t xml:space="preserve">On the positive side, </w:t>
      </w:r>
      <w:r w:rsidRPr="090C4359" w:rsidR="00030B94">
        <w:rPr>
          <w:rFonts w:asciiTheme="minorHAnsi" w:hAnsiTheme="minorHAnsi" w:cstheme="minorBidi"/>
          <w:sz w:val="22"/>
          <w:szCs w:val="22"/>
        </w:rPr>
        <w:t xml:space="preserve">Mooney-Doyle and Ulrich </w:t>
      </w:r>
      <w:r w:rsidRPr="090C4359" w:rsidR="006E0EEB">
        <w:rPr>
          <w:rFonts w:asciiTheme="minorHAnsi" w:hAnsiTheme="minorHAnsi" w:cstheme="minorBidi"/>
          <w:sz w:val="22"/>
          <w:szCs w:val="22"/>
        </w:rPr>
        <w:t xml:space="preserve">share </w:t>
      </w:r>
      <w:r w:rsidRPr="090C4359" w:rsidR="00030B94">
        <w:rPr>
          <w:rFonts w:asciiTheme="minorHAnsi" w:hAnsiTheme="minorHAnsi" w:cstheme="minorBidi"/>
          <w:sz w:val="22"/>
          <w:szCs w:val="22"/>
        </w:rPr>
        <w:t>Brosig</w:t>
      </w:r>
      <w:r w:rsidRPr="090C4359" w:rsidR="006E0EEB">
        <w:rPr>
          <w:rFonts w:asciiTheme="minorHAnsi" w:hAnsiTheme="minorHAnsi" w:cstheme="minorBidi"/>
          <w:sz w:val="22"/>
          <w:szCs w:val="22"/>
        </w:rPr>
        <w:t xml:space="preserve">’s research on </w:t>
      </w:r>
      <w:r w:rsidRPr="090C4359" w:rsidR="00EF48C4">
        <w:rPr>
          <w:rFonts w:asciiTheme="minorHAnsi" w:hAnsiTheme="minorHAnsi" w:cstheme="minorBidi"/>
          <w:sz w:val="22"/>
          <w:szCs w:val="22"/>
        </w:rPr>
        <w:t>how bereaved parents felt ‘</w:t>
      </w:r>
      <w:r w:rsidRPr="090C4359" w:rsidR="00030B94">
        <w:rPr>
          <w:rFonts w:asciiTheme="minorHAnsi" w:hAnsiTheme="minorHAnsi" w:cstheme="minorBidi"/>
          <w:sz w:val="22"/>
          <w:szCs w:val="22"/>
        </w:rPr>
        <w:t>supported by healthcare providers who communicated with honesty, who supported their parental role by creating an environment in which they could hold and be near their infant, and who helped them make meaning of the situation.’</w:t>
      </w:r>
      <w:r w:rsidRPr="090C4359" w:rsidR="00030B94">
        <w:rPr>
          <w:rStyle w:val="FootnoteReference"/>
          <w:rFonts w:asciiTheme="minorHAnsi" w:hAnsiTheme="minorHAnsi" w:cstheme="minorBidi"/>
          <w:sz w:val="22"/>
          <w:szCs w:val="22"/>
        </w:rPr>
        <w:footnoteReference w:id="204"/>
      </w:r>
      <w:r w:rsidRPr="090C4359" w:rsidR="00030B94">
        <w:rPr>
          <w:rFonts w:asciiTheme="minorHAnsi" w:hAnsiTheme="minorHAnsi" w:cstheme="minorBidi"/>
          <w:sz w:val="22"/>
          <w:szCs w:val="22"/>
        </w:rPr>
        <w:t xml:space="preserve"> Bateman et al </w:t>
      </w:r>
      <w:r w:rsidRPr="090C4359" w:rsidR="0038188C">
        <w:rPr>
          <w:rFonts w:asciiTheme="minorHAnsi" w:hAnsiTheme="minorHAnsi" w:cstheme="minorBidi"/>
          <w:sz w:val="22"/>
          <w:szCs w:val="22"/>
        </w:rPr>
        <w:t>also confirm that</w:t>
      </w:r>
      <w:r w:rsidRPr="090C4359" w:rsidR="0016292B">
        <w:rPr>
          <w:rFonts w:asciiTheme="minorHAnsi" w:hAnsiTheme="minorHAnsi" w:cstheme="minorBidi"/>
          <w:sz w:val="22"/>
          <w:szCs w:val="22"/>
        </w:rPr>
        <w:t xml:space="preserve"> good communication resulted in ‘</w:t>
      </w:r>
      <w:r w:rsidRPr="090C4359" w:rsidR="00030B94">
        <w:rPr>
          <w:rFonts w:asciiTheme="minorHAnsi" w:hAnsiTheme="minorHAnsi" w:cstheme="minorBidi"/>
          <w:sz w:val="22"/>
          <w:szCs w:val="22"/>
        </w:rPr>
        <w:t>less suffering in parents whose child has died’</w:t>
      </w:r>
      <w:r w:rsidRPr="090C4359" w:rsidR="0016292B">
        <w:rPr>
          <w:rFonts w:asciiTheme="minorHAnsi" w:hAnsiTheme="minorHAnsi" w:cstheme="minorBidi"/>
          <w:sz w:val="22"/>
          <w:szCs w:val="22"/>
        </w:rPr>
        <w:t>.</w:t>
      </w:r>
      <w:r w:rsidRPr="090C4359" w:rsidR="00030B94">
        <w:rPr>
          <w:rStyle w:val="FootnoteReference"/>
          <w:rFonts w:asciiTheme="minorHAnsi" w:hAnsiTheme="minorHAnsi" w:cstheme="minorBidi"/>
          <w:sz w:val="22"/>
          <w:szCs w:val="22"/>
        </w:rPr>
        <w:footnoteReference w:id="205"/>
      </w:r>
      <w:r w:rsidRPr="090C4359" w:rsidR="00102165">
        <w:rPr>
          <w:rFonts w:asciiTheme="minorHAnsi" w:hAnsiTheme="minorHAnsi" w:cstheme="minorBidi"/>
          <w:sz w:val="22"/>
          <w:szCs w:val="22"/>
        </w:rPr>
        <w:t xml:space="preserve"> Moore’s work on the notion of a “good death” for children</w:t>
      </w:r>
      <w:r w:rsidRPr="090C4359" w:rsidR="007753BC">
        <w:rPr>
          <w:rFonts w:asciiTheme="minorHAnsi" w:hAnsiTheme="minorHAnsi" w:cstheme="minorBidi"/>
          <w:sz w:val="22"/>
          <w:szCs w:val="22"/>
        </w:rPr>
        <w:t>, discussed in the Causes section above,</w:t>
      </w:r>
      <w:r w:rsidRPr="090C4359" w:rsidR="00102165">
        <w:rPr>
          <w:rFonts w:asciiTheme="minorHAnsi" w:hAnsiTheme="minorHAnsi" w:cstheme="minorBidi"/>
          <w:sz w:val="22"/>
          <w:szCs w:val="22"/>
        </w:rPr>
        <w:t xml:space="preserve"> </w:t>
      </w:r>
      <w:r w:rsidRPr="090C4359" w:rsidR="009521F7">
        <w:rPr>
          <w:rFonts w:asciiTheme="minorHAnsi" w:hAnsiTheme="minorHAnsi" w:cstheme="minorBidi"/>
          <w:sz w:val="22"/>
          <w:szCs w:val="22"/>
        </w:rPr>
        <w:t>acknowledges</w:t>
      </w:r>
      <w:r w:rsidRPr="090C4359" w:rsidR="00102165">
        <w:rPr>
          <w:rFonts w:asciiTheme="minorHAnsi" w:hAnsiTheme="minorHAnsi" w:cstheme="minorBidi"/>
          <w:sz w:val="22"/>
          <w:szCs w:val="22"/>
        </w:rPr>
        <w:t xml:space="preserve"> that the focus on “good”</w:t>
      </w:r>
      <w:r w:rsidRPr="090C4359" w:rsidR="00F20EC6">
        <w:rPr>
          <w:rFonts w:asciiTheme="minorHAnsi" w:hAnsiTheme="minorHAnsi" w:cstheme="minorBidi"/>
          <w:sz w:val="22"/>
          <w:szCs w:val="22"/>
        </w:rPr>
        <w:t>, whilst sometimes for the child,</w:t>
      </w:r>
      <w:r w:rsidRPr="090C4359" w:rsidR="00102165">
        <w:rPr>
          <w:rFonts w:asciiTheme="minorHAnsi" w:hAnsiTheme="minorHAnsi" w:cstheme="minorBidi"/>
          <w:sz w:val="22"/>
          <w:szCs w:val="22"/>
        </w:rPr>
        <w:t xml:space="preserve"> is more often for the carers because of the lasting impact on them</w:t>
      </w:r>
      <w:r w:rsidRPr="090C4359" w:rsidR="000D72E9">
        <w:rPr>
          <w:rFonts w:asciiTheme="minorHAnsi" w:hAnsiTheme="minorHAnsi" w:cstheme="minorBidi"/>
          <w:sz w:val="22"/>
          <w:szCs w:val="22"/>
        </w:rPr>
        <w:t xml:space="preserve"> of the end-of-life </w:t>
      </w:r>
      <w:r w:rsidRPr="090C4359" w:rsidR="00406478">
        <w:rPr>
          <w:rFonts w:asciiTheme="minorHAnsi" w:hAnsiTheme="minorHAnsi" w:cstheme="minorBidi"/>
          <w:sz w:val="22"/>
          <w:szCs w:val="22"/>
        </w:rPr>
        <w:t>decisions</w:t>
      </w:r>
      <w:r w:rsidRPr="090C4359" w:rsidR="00F20EC6">
        <w:rPr>
          <w:rFonts w:asciiTheme="minorHAnsi" w:hAnsiTheme="minorHAnsi" w:cstheme="minorBidi"/>
          <w:sz w:val="22"/>
          <w:szCs w:val="22"/>
        </w:rPr>
        <w:t>.</w:t>
      </w:r>
      <w:r w:rsidRPr="090C4359" w:rsidR="00102165">
        <w:rPr>
          <w:rStyle w:val="FootnoteReference"/>
          <w:rFonts w:asciiTheme="minorHAnsi" w:hAnsiTheme="minorHAnsi" w:cstheme="minorBidi"/>
          <w:sz w:val="22"/>
          <w:szCs w:val="22"/>
        </w:rPr>
        <w:footnoteReference w:id="206"/>
      </w:r>
      <w:r w:rsidRPr="090C4359" w:rsidR="00102165">
        <w:rPr>
          <w:rFonts w:asciiTheme="minorHAnsi" w:hAnsiTheme="minorHAnsi" w:cstheme="minorBidi"/>
          <w:sz w:val="22"/>
          <w:szCs w:val="22"/>
        </w:rPr>
        <w:t xml:space="preserve"> </w:t>
      </w:r>
      <w:r w:rsidRPr="090C4359" w:rsidR="0016292B">
        <w:rPr>
          <w:rFonts w:asciiTheme="minorHAnsi" w:hAnsiTheme="minorHAnsi" w:cstheme="minorBidi"/>
          <w:sz w:val="22"/>
          <w:szCs w:val="22"/>
        </w:rPr>
        <w:t>Conversely,</w:t>
      </w:r>
      <w:r w:rsidRPr="090C4359" w:rsidR="002837A0">
        <w:rPr>
          <w:rFonts w:asciiTheme="minorHAnsi" w:hAnsiTheme="minorHAnsi" w:cstheme="minorBidi"/>
          <w:sz w:val="22"/>
          <w:szCs w:val="22"/>
        </w:rPr>
        <w:t xml:space="preserve"> evidence on the</w:t>
      </w:r>
      <w:r w:rsidRPr="090C4359">
        <w:rPr>
          <w:rFonts w:asciiTheme="minorHAnsi" w:hAnsiTheme="minorHAnsi" w:cstheme="minorBidi"/>
          <w:sz w:val="22"/>
          <w:szCs w:val="22"/>
        </w:rPr>
        <w:t xml:space="preserve"> impact of disagreement </w:t>
      </w:r>
      <w:r w:rsidRPr="090C4359" w:rsidR="00BD1F5B">
        <w:rPr>
          <w:rFonts w:asciiTheme="minorHAnsi" w:hAnsiTheme="minorHAnsi" w:cstheme="minorBidi"/>
          <w:sz w:val="22"/>
          <w:szCs w:val="22"/>
        </w:rPr>
        <w:t>dr</w:t>
      </w:r>
      <w:r w:rsidRPr="090C4359" w:rsidR="002837A0">
        <w:rPr>
          <w:rFonts w:asciiTheme="minorHAnsi" w:hAnsiTheme="minorHAnsi" w:cstheme="minorBidi"/>
          <w:sz w:val="22"/>
          <w:szCs w:val="22"/>
        </w:rPr>
        <w:t>ew</w:t>
      </w:r>
      <w:r w:rsidRPr="090C4359" w:rsidR="00BD1F5B">
        <w:rPr>
          <w:rFonts w:asciiTheme="minorHAnsi" w:hAnsiTheme="minorHAnsi" w:cstheme="minorBidi"/>
          <w:sz w:val="22"/>
          <w:szCs w:val="22"/>
        </w:rPr>
        <w:t xml:space="preserve"> attention </w:t>
      </w:r>
      <w:r w:rsidRPr="090C4359" w:rsidR="007E0148">
        <w:rPr>
          <w:rFonts w:asciiTheme="minorHAnsi" w:hAnsiTheme="minorHAnsi" w:cstheme="minorBidi"/>
          <w:sz w:val="22"/>
          <w:szCs w:val="22"/>
        </w:rPr>
        <w:t xml:space="preserve">to </w:t>
      </w:r>
      <w:r w:rsidRPr="090C4359" w:rsidR="00BD1F5B">
        <w:rPr>
          <w:rFonts w:asciiTheme="minorHAnsi" w:hAnsiTheme="minorHAnsi" w:cstheme="minorBidi"/>
          <w:sz w:val="22"/>
          <w:szCs w:val="22"/>
        </w:rPr>
        <w:t>‘</w:t>
      </w:r>
      <w:r w:rsidRPr="090C4359" w:rsidR="00F26277">
        <w:rPr>
          <w:rFonts w:asciiTheme="minorHAnsi" w:hAnsiTheme="minorHAnsi" w:cstheme="minorBidi"/>
          <w:sz w:val="22"/>
          <w:szCs w:val="22"/>
        </w:rPr>
        <w:t>breakdowns in therapeutic relationship</w:t>
      </w:r>
      <w:r w:rsidRPr="090C4359" w:rsidR="00BD1F5B">
        <w:rPr>
          <w:rFonts w:asciiTheme="minorHAnsi" w:hAnsiTheme="minorHAnsi" w:cstheme="minorBidi"/>
          <w:sz w:val="22"/>
          <w:szCs w:val="22"/>
        </w:rPr>
        <w:t>s’</w:t>
      </w:r>
      <w:r w:rsidRPr="090C4359" w:rsidR="00233CAB">
        <w:rPr>
          <w:rFonts w:asciiTheme="minorHAnsi" w:hAnsiTheme="minorHAnsi" w:cstheme="minorBidi"/>
          <w:sz w:val="22"/>
          <w:szCs w:val="22"/>
        </w:rPr>
        <w:t>,</w:t>
      </w:r>
      <w:r w:rsidRPr="090C4359" w:rsidR="00F26277">
        <w:rPr>
          <w:rStyle w:val="FootnoteReference"/>
          <w:rFonts w:asciiTheme="minorHAnsi" w:hAnsiTheme="minorHAnsi" w:cstheme="minorBidi"/>
          <w:sz w:val="22"/>
          <w:szCs w:val="22"/>
        </w:rPr>
        <w:footnoteReference w:id="207"/>
      </w:r>
      <w:r w:rsidRPr="090C4359" w:rsidR="00BD1F5B">
        <w:rPr>
          <w:rFonts w:asciiTheme="minorHAnsi" w:hAnsiTheme="minorHAnsi" w:cstheme="minorBidi"/>
          <w:sz w:val="22"/>
          <w:szCs w:val="22"/>
        </w:rPr>
        <w:t xml:space="preserve"> ‘</w:t>
      </w:r>
      <w:r w:rsidRPr="090C4359" w:rsidR="00F26277">
        <w:rPr>
          <w:rFonts w:asciiTheme="minorHAnsi" w:hAnsiTheme="minorHAnsi" w:cstheme="minorBidi"/>
          <w:sz w:val="22"/>
          <w:szCs w:val="22"/>
        </w:rPr>
        <w:t>families feeling uncared for’</w:t>
      </w:r>
      <w:r w:rsidRPr="090C4359" w:rsidR="00F26277">
        <w:rPr>
          <w:rStyle w:val="FootnoteReference"/>
          <w:rFonts w:asciiTheme="minorHAnsi" w:hAnsiTheme="minorHAnsi" w:cstheme="minorBidi"/>
          <w:sz w:val="22"/>
          <w:szCs w:val="22"/>
        </w:rPr>
        <w:footnoteReference w:id="208"/>
      </w:r>
      <w:r w:rsidRPr="090C4359" w:rsidR="00494748">
        <w:rPr>
          <w:rFonts w:asciiTheme="minorHAnsi" w:hAnsiTheme="minorHAnsi" w:cstheme="minorBidi"/>
          <w:sz w:val="22"/>
          <w:szCs w:val="22"/>
        </w:rPr>
        <w:t xml:space="preserve"> and</w:t>
      </w:r>
      <w:r w:rsidRPr="090C4359" w:rsidR="005E58FA">
        <w:rPr>
          <w:rFonts w:asciiTheme="minorHAnsi" w:hAnsiTheme="minorHAnsi" w:cstheme="minorBidi"/>
          <w:sz w:val="22"/>
          <w:szCs w:val="22"/>
        </w:rPr>
        <w:t xml:space="preserve"> loss of trust,</w:t>
      </w:r>
      <w:r w:rsidRPr="090C4359" w:rsidR="005E58FA">
        <w:rPr>
          <w:rStyle w:val="FootnoteReference"/>
          <w:rFonts w:asciiTheme="minorHAnsi" w:hAnsiTheme="minorHAnsi" w:cstheme="minorBidi"/>
          <w:sz w:val="22"/>
          <w:szCs w:val="22"/>
        </w:rPr>
        <w:footnoteReference w:id="209"/>
      </w:r>
      <w:r w:rsidRPr="090C4359" w:rsidR="008E699D">
        <w:rPr>
          <w:rFonts w:asciiTheme="minorHAnsi" w:hAnsiTheme="minorHAnsi" w:cstheme="minorBidi"/>
          <w:sz w:val="22"/>
          <w:szCs w:val="22"/>
        </w:rPr>
        <w:t xml:space="preserve"> </w:t>
      </w:r>
      <w:r w:rsidRPr="090C4359" w:rsidR="00DC1542">
        <w:rPr>
          <w:rFonts w:asciiTheme="minorHAnsi" w:hAnsiTheme="minorHAnsi" w:cstheme="minorBidi"/>
          <w:sz w:val="22"/>
          <w:szCs w:val="22"/>
        </w:rPr>
        <w:t xml:space="preserve">which for families feeling ‘ignored (…) </w:t>
      </w:r>
      <w:r w:rsidRPr="090C4359" w:rsidR="006931D5">
        <w:rPr>
          <w:rFonts w:asciiTheme="minorHAnsi" w:hAnsiTheme="minorHAnsi" w:cstheme="minorBidi"/>
          <w:sz w:val="22"/>
          <w:szCs w:val="22"/>
        </w:rPr>
        <w:t>may include an irreconcilable distrust for the doctor, hospital, medical profession, public health profession, and even the government.’</w:t>
      </w:r>
      <w:r w:rsidRPr="090C4359" w:rsidR="006931D5">
        <w:rPr>
          <w:rStyle w:val="FootnoteReference"/>
          <w:rFonts w:asciiTheme="minorHAnsi" w:hAnsiTheme="minorHAnsi" w:cstheme="minorBidi"/>
          <w:sz w:val="22"/>
          <w:szCs w:val="22"/>
        </w:rPr>
        <w:footnoteReference w:id="210"/>
      </w:r>
      <w:r w:rsidRPr="090C4359" w:rsidR="00200217">
        <w:rPr>
          <w:rFonts w:asciiTheme="minorHAnsi" w:hAnsiTheme="minorHAnsi" w:cstheme="minorBidi"/>
          <w:sz w:val="22"/>
          <w:szCs w:val="22"/>
        </w:rPr>
        <w:t xml:space="preserve"> </w:t>
      </w:r>
    </w:p>
    <w:p w:rsidRPr="00763E94" w:rsidR="00BF1FEF" w:rsidP="00BF1FEF" w:rsidRDefault="00BF1FEF" w14:paraId="2B4C5C08" w14:textId="77777777">
      <w:pPr>
        <w:pStyle w:val="Normal0"/>
        <w:ind w:left="502"/>
        <w:rPr>
          <w:rFonts w:asciiTheme="minorHAnsi" w:hAnsiTheme="minorHAnsi" w:cstheme="minorHAnsi"/>
          <w:sz w:val="22"/>
          <w:szCs w:val="22"/>
        </w:rPr>
      </w:pPr>
    </w:p>
    <w:p w:rsidRPr="00763E94" w:rsidR="009F6536" w:rsidP="00EF638C" w:rsidRDefault="0032518A" w14:paraId="17C9EB6F" w14:textId="71205A53">
      <w:pPr>
        <w:pStyle w:val="Normal0"/>
        <w:numPr>
          <w:ilvl w:val="0"/>
          <w:numId w:val="2"/>
        </w:numPr>
        <w:rPr>
          <w:rFonts w:asciiTheme="minorHAnsi" w:hAnsiTheme="minorHAnsi" w:cstheme="minorHAnsi"/>
          <w:sz w:val="22"/>
          <w:szCs w:val="22"/>
        </w:rPr>
      </w:pPr>
      <w:r w:rsidRPr="090C4359">
        <w:rPr>
          <w:rFonts w:asciiTheme="minorHAnsi" w:hAnsiTheme="minorHAnsi" w:cstheme="minorBidi"/>
          <w:sz w:val="22"/>
          <w:szCs w:val="22"/>
        </w:rPr>
        <w:t xml:space="preserve">Finally, there are the </w:t>
      </w:r>
      <w:r w:rsidRPr="090C4359" w:rsidR="00A8031A">
        <w:rPr>
          <w:rFonts w:asciiTheme="minorHAnsi" w:hAnsiTheme="minorHAnsi" w:cstheme="minorBidi"/>
          <w:sz w:val="22"/>
          <w:szCs w:val="22"/>
        </w:rPr>
        <w:t>emotional, relational and financial</w:t>
      </w:r>
      <w:r w:rsidRPr="090C4359">
        <w:rPr>
          <w:rFonts w:asciiTheme="minorHAnsi" w:hAnsiTheme="minorHAnsi" w:cstheme="minorBidi"/>
          <w:sz w:val="22"/>
          <w:szCs w:val="22"/>
        </w:rPr>
        <w:t xml:space="preserve"> impacts on the family.</w:t>
      </w:r>
      <w:r w:rsidRPr="090C4359" w:rsidR="007A5DF6">
        <w:rPr>
          <w:rStyle w:val="FootnoteReference"/>
          <w:rFonts w:asciiTheme="minorHAnsi" w:hAnsiTheme="minorHAnsi" w:cstheme="minorBidi"/>
          <w:sz w:val="22"/>
          <w:szCs w:val="22"/>
          <w:shd w:val="clear" w:color="auto" w:fill="FFFFFF"/>
        </w:rPr>
        <w:footnoteReference w:id="211"/>
      </w:r>
      <w:r w:rsidRPr="090C4359" w:rsidR="00A8031A">
        <w:rPr>
          <w:rFonts w:asciiTheme="minorHAnsi" w:hAnsiTheme="minorHAnsi" w:cstheme="minorBidi"/>
          <w:sz w:val="22"/>
          <w:szCs w:val="22"/>
        </w:rPr>
        <w:t xml:space="preserve"> As </w:t>
      </w:r>
    </w:p>
    <w:p w:rsidRPr="00A6798D" w:rsidR="00F71022" w:rsidP="003768ED" w:rsidRDefault="007B7DE8" w14:paraId="736AD0A1" w14:textId="04182BBD">
      <w:pPr>
        <w:pStyle w:val="Normal0"/>
        <w:ind w:left="360"/>
        <w:jc w:val="both"/>
        <w:rPr>
          <w:rFonts w:asciiTheme="minorHAnsi" w:hAnsiTheme="minorHAnsi" w:cstheme="minorHAnsi"/>
        </w:rPr>
      </w:pPr>
      <w:r w:rsidRPr="00763E94">
        <w:rPr>
          <w:rFonts w:asciiTheme="minorHAnsi" w:hAnsiTheme="minorHAnsi" w:cstheme="minorHAnsi"/>
          <w:sz w:val="22"/>
          <w:szCs w:val="22"/>
          <w:shd w:val="clear" w:color="auto" w:fill="FFFFFF"/>
        </w:rPr>
        <w:t>Auckland and Goold</w:t>
      </w:r>
      <w:r w:rsidRPr="00763E94" w:rsidR="00A8031A">
        <w:rPr>
          <w:rFonts w:asciiTheme="minorHAnsi" w:hAnsiTheme="minorHAnsi" w:cstheme="minorHAnsi"/>
          <w:sz w:val="22"/>
          <w:szCs w:val="22"/>
          <w:shd w:val="clear" w:color="auto" w:fill="FFFFFF"/>
        </w:rPr>
        <w:t xml:space="preserve"> point out</w:t>
      </w:r>
      <w:r w:rsidRPr="00763E94" w:rsidR="00FC6353">
        <w:rPr>
          <w:rFonts w:asciiTheme="minorHAnsi" w:hAnsiTheme="minorHAnsi" w:cstheme="minorHAnsi"/>
          <w:sz w:val="22"/>
          <w:szCs w:val="22"/>
          <w:shd w:val="clear" w:color="auto" w:fill="FFFFFF"/>
        </w:rPr>
        <w:t xml:space="preserve">, in the absence of legal aid, there are substantial financial costs </w:t>
      </w:r>
      <w:r w:rsidRPr="00763E94" w:rsidR="00BF1FEF">
        <w:rPr>
          <w:rFonts w:asciiTheme="minorHAnsi" w:hAnsiTheme="minorHAnsi" w:cstheme="minorHAnsi"/>
          <w:sz w:val="22"/>
          <w:szCs w:val="22"/>
          <w:shd w:val="clear" w:color="auto" w:fill="FFFFFF"/>
        </w:rPr>
        <w:t xml:space="preserve">        </w:t>
      </w:r>
      <w:r w:rsidRPr="00763E94" w:rsidR="00FC6353">
        <w:rPr>
          <w:rFonts w:asciiTheme="minorHAnsi" w:hAnsiTheme="minorHAnsi" w:cstheme="minorHAnsi"/>
          <w:sz w:val="22"/>
          <w:szCs w:val="22"/>
          <w:shd w:val="clear" w:color="auto" w:fill="FFFFFF"/>
        </w:rPr>
        <w:t xml:space="preserve">for families to bear in going to court. </w:t>
      </w:r>
      <w:r w:rsidRPr="00763E94" w:rsidR="005A6869">
        <w:rPr>
          <w:rFonts w:asciiTheme="minorHAnsi" w:hAnsiTheme="minorHAnsi" w:cstheme="minorHAnsi"/>
          <w:sz w:val="22"/>
          <w:szCs w:val="22"/>
          <w:shd w:val="clear" w:color="auto" w:fill="FFFFFF"/>
        </w:rPr>
        <w:t xml:space="preserve">As noted in the </w:t>
      </w:r>
      <w:r w:rsidRPr="00763E94" w:rsidR="001D5394">
        <w:rPr>
          <w:rFonts w:asciiTheme="minorHAnsi" w:hAnsiTheme="minorHAnsi" w:cstheme="minorHAnsi"/>
          <w:sz w:val="22"/>
          <w:szCs w:val="22"/>
          <w:shd w:val="clear" w:color="auto" w:fill="FFFFFF"/>
        </w:rPr>
        <w:t>C</w:t>
      </w:r>
      <w:r w:rsidRPr="00763E94" w:rsidR="005A6869">
        <w:rPr>
          <w:rFonts w:asciiTheme="minorHAnsi" w:hAnsiTheme="minorHAnsi" w:cstheme="minorHAnsi"/>
          <w:sz w:val="22"/>
          <w:szCs w:val="22"/>
          <w:shd w:val="clear" w:color="auto" w:fill="FFFFFF"/>
        </w:rPr>
        <w:t xml:space="preserve">auses section above, this may </w:t>
      </w:r>
      <w:r w:rsidRPr="00763E94" w:rsidR="00821418">
        <w:rPr>
          <w:rFonts w:asciiTheme="minorHAnsi" w:hAnsiTheme="minorHAnsi" w:cstheme="minorHAnsi"/>
          <w:sz w:val="22"/>
          <w:szCs w:val="22"/>
          <w:shd w:val="clear" w:color="auto" w:fill="FFFFFF"/>
        </w:rPr>
        <w:t xml:space="preserve">drive the </w:t>
      </w:r>
      <w:r w:rsidRPr="00763E94" w:rsidR="00503217">
        <w:rPr>
          <w:rFonts w:asciiTheme="minorHAnsi" w:hAnsiTheme="minorHAnsi" w:cstheme="minorHAnsi"/>
          <w:sz w:val="22"/>
          <w:szCs w:val="22"/>
          <w:shd w:val="clear" w:color="auto" w:fill="FFFFFF"/>
        </w:rPr>
        <w:t>family to seek other avenues of financial support, such as crowd funding, with the increased public ex</w:t>
      </w:r>
      <w:r w:rsidRPr="00763E94" w:rsidR="00060386">
        <w:rPr>
          <w:rFonts w:asciiTheme="minorHAnsi" w:hAnsiTheme="minorHAnsi" w:cstheme="minorHAnsi"/>
          <w:sz w:val="22"/>
          <w:szCs w:val="22"/>
          <w:shd w:val="clear" w:color="auto" w:fill="FFFFFF"/>
        </w:rPr>
        <w:t>posure that entails.</w:t>
      </w:r>
      <w:r w:rsidRPr="00763E94">
        <w:rPr>
          <w:rStyle w:val="FootnoteReference"/>
          <w:rFonts w:asciiTheme="minorHAnsi" w:hAnsiTheme="minorHAnsi" w:cstheme="minorHAnsi"/>
          <w:sz w:val="22"/>
          <w:szCs w:val="22"/>
        </w:rPr>
        <w:footnoteReference w:id="212"/>
      </w:r>
      <w:r w:rsidRPr="00763E94" w:rsidR="00126315">
        <w:rPr>
          <w:rFonts w:asciiTheme="minorHAnsi" w:hAnsiTheme="minorHAnsi" w:cstheme="minorHAnsi"/>
          <w:sz w:val="22"/>
          <w:szCs w:val="22"/>
        </w:rPr>
        <w:t xml:space="preserve"> Whilst </w:t>
      </w:r>
      <w:r w:rsidRPr="00763E94" w:rsidR="00C06663">
        <w:rPr>
          <w:rFonts w:asciiTheme="minorHAnsi" w:hAnsiTheme="minorHAnsi" w:cstheme="minorHAnsi"/>
          <w:sz w:val="22"/>
          <w:szCs w:val="22"/>
        </w:rPr>
        <w:t xml:space="preserve">such “visibility” is </w:t>
      </w:r>
      <w:r w:rsidRPr="00763E94" w:rsidR="00C75132">
        <w:rPr>
          <w:rFonts w:asciiTheme="minorHAnsi" w:hAnsiTheme="minorHAnsi" w:cstheme="minorHAnsi"/>
          <w:sz w:val="22"/>
          <w:szCs w:val="22"/>
        </w:rPr>
        <w:t>sometimes sought by</w:t>
      </w:r>
      <w:r w:rsidRPr="00763E94" w:rsidR="00C06663">
        <w:rPr>
          <w:rFonts w:asciiTheme="minorHAnsi" w:hAnsiTheme="minorHAnsi" w:cstheme="minorHAnsi"/>
          <w:sz w:val="22"/>
          <w:szCs w:val="22"/>
        </w:rPr>
        <w:t xml:space="preserve"> families</w:t>
      </w:r>
      <w:r w:rsidRPr="00763E94" w:rsidR="00C75132">
        <w:rPr>
          <w:rFonts w:asciiTheme="minorHAnsi" w:hAnsiTheme="minorHAnsi" w:cstheme="minorHAnsi"/>
          <w:sz w:val="22"/>
          <w:szCs w:val="22"/>
        </w:rPr>
        <w:t xml:space="preserve"> and portrayed</w:t>
      </w:r>
      <w:r w:rsidRPr="00763E94" w:rsidR="00C06663">
        <w:rPr>
          <w:rFonts w:asciiTheme="minorHAnsi" w:hAnsiTheme="minorHAnsi" w:cstheme="minorHAnsi"/>
          <w:sz w:val="22"/>
          <w:szCs w:val="22"/>
        </w:rPr>
        <w:t xml:space="preserve"> as a</w:t>
      </w:r>
      <w:r w:rsidRPr="00763E94" w:rsidR="00C06663">
        <w:rPr>
          <w:rFonts w:asciiTheme="minorHAnsi" w:hAnsiTheme="minorHAnsi" w:cstheme="minorHAnsi"/>
        </w:rPr>
        <w:t xml:space="preserve"> </w:t>
      </w:r>
      <w:r w:rsidRPr="00763E94" w:rsidR="00C06663">
        <w:rPr>
          <w:rFonts w:asciiTheme="minorHAnsi" w:hAnsiTheme="minorHAnsi" w:cstheme="minorHAnsi"/>
          <w:sz w:val="22"/>
          <w:szCs w:val="22"/>
        </w:rPr>
        <w:t xml:space="preserve">benefit, Auckland and Goold contend that </w:t>
      </w:r>
      <w:r w:rsidRPr="00763E94" w:rsidR="00D20E83">
        <w:rPr>
          <w:rFonts w:asciiTheme="minorHAnsi" w:hAnsiTheme="minorHAnsi" w:cstheme="minorHAnsi"/>
          <w:sz w:val="22"/>
          <w:szCs w:val="22"/>
        </w:rPr>
        <w:t xml:space="preserve">it may also have negative impacts on the family, such as the inability to change their stated position </w:t>
      </w:r>
      <w:r w:rsidRPr="00763E94" w:rsidR="00DC2B61">
        <w:rPr>
          <w:rFonts w:asciiTheme="minorHAnsi" w:hAnsiTheme="minorHAnsi" w:cstheme="minorHAnsi"/>
          <w:sz w:val="22"/>
          <w:szCs w:val="22"/>
        </w:rPr>
        <w:t>in the face</w:t>
      </w:r>
      <w:r w:rsidRPr="00763E94" w:rsidR="00A23257">
        <w:rPr>
          <w:rFonts w:asciiTheme="minorHAnsi" w:hAnsiTheme="minorHAnsi" w:cstheme="minorHAnsi"/>
          <w:sz w:val="22"/>
          <w:szCs w:val="22"/>
        </w:rPr>
        <w:t xml:space="preserve"> of social media pressure</w:t>
      </w:r>
      <w:r w:rsidRPr="00763E94" w:rsidR="00D1094D">
        <w:rPr>
          <w:rFonts w:asciiTheme="minorHAnsi" w:hAnsiTheme="minorHAnsi" w:cstheme="minorHAnsi"/>
          <w:sz w:val="22"/>
          <w:szCs w:val="22"/>
        </w:rPr>
        <w:t>, and the cost of being</w:t>
      </w:r>
      <w:r w:rsidRPr="00763E94" w:rsidR="00166FD9">
        <w:rPr>
          <w:rFonts w:asciiTheme="minorHAnsi" w:hAnsiTheme="minorHAnsi" w:cstheme="minorHAnsi"/>
          <w:sz w:val="22"/>
          <w:szCs w:val="22"/>
        </w:rPr>
        <w:t xml:space="preserve"> </w:t>
      </w:r>
      <w:r w:rsidRPr="00763E94" w:rsidR="00D1094D">
        <w:rPr>
          <w:rFonts w:asciiTheme="minorHAnsi" w:hAnsiTheme="minorHAnsi" w:cstheme="minorHAnsi"/>
          <w:sz w:val="22"/>
          <w:szCs w:val="22"/>
        </w:rPr>
        <w:t>‘</w:t>
      </w:r>
      <w:r w:rsidRPr="00763E94" w:rsidR="00166FD9">
        <w:rPr>
          <w:rFonts w:asciiTheme="minorHAnsi" w:hAnsiTheme="minorHAnsi" w:cstheme="minorHAnsi"/>
          <w:sz w:val="22"/>
          <w:szCs w:val="22"/>
        </w:rPr>
        <w:t xml:space="preserve">forced to </w:t>
      </w:r>
      <w:r w:rsidRPr="00763E94" w:rsidR="00AB6271">
        <w:rPr>
          <w:rFonts w:asciiTheme="minorHAnsi" w:hAnsiTheme="minorHAnsi" w:cstheme="minorHAnsi"/>
          <w:sz w:val="22"/>
          <w:szCs w:val="22"/>
        </w:rPr>
        <w:t>watch their personal tragedy played out on the world’s stage’.</w:t>
      </w:r>
      <w:r w:rsidRPr="00763E94" w:rsidR="00AB6271">
        <w:rPr>
          <w:rStyle w:val="FootnoteReference"/>
          <w:rFonts w:asciiTheme="minorHAnsi" w:hAnsiTheme="minorHAnsi" w:cstheme="minorHAnsi"/>
          <w:sz w:val="22"/>
          <w:szCs w:val="22"/>
        </w:rPr>
        <w:t xml:space="preserve"> </w:t>
      </w:r>
      <w:r w:rsidRPr="00763E94" w:rsidR="00AB6271">
        <w:rPr>
          <w:rStyle w:val="FootnoteReference"/>
          <w:rFonts w:asciiTheme="minorHAnsi" w:hAnsiTheme="minorHAnsi" w:cstheme="minorHAnsi"/>
          <w:sz w:val="22"/>
          <w:szCs w:val="22"/>
        </w:rPr>
        <w:footnoteReference w:id="213"/>
      </w:r>
      <w:r w:rsidRPr="00763E94" w:rsidR="00AB6271">
        <w:rPr>
          <w:rFonts w:asciiTheme="minorHAnsi" w:hAnsiTheme="minorHAnsi" w:cstheme="minorHAnsi"/>
          <w:sz w:val="22"/>
          <w:szCs w:val="22"/>
        </w:rPr>
        <w:t xml:space="preserve"> </w:t>
      </w:r>
      <w:r w:rsidRPr="00763E94" w:rsidR="00B47D72">
        <w:rPr>
          <w:rFonts w:asciiTheme="minorHAnsi" w:hAnsiTheme="minorHAnsi" w:cstheme="minorHAnsi"/>
          <w:sz w:val="22"/>
          <w:szCs w:val="22"/>
        </w:rPr>
        <w:t>In relation to family life,</w:t>
      </w:r>
      <w:r w:rsidRPr="00763E94" w:rsidR="00821418">
        <w:rPr>
          <w:rFonts w:asciiTheme="minorHAnsi" w:hAnsiTheme="minorHAnsi" w:cstheme="minorHAnsi"/>
          <w:sz w:val="22"/>
          <w:szCs w:val="22"/>
        </w:rPr>
        <w:t xml:space="preserve"> Katz et al point out in their Australian study</w:t>
      </w:r>
      <w:r w:rsidRPr="00763E94" w:rsidR="0013068E">
        <w:rPr>
          <w:rFonts w:asciiTheme="minorHAnsi" w:hAnsiTheme="minorHAnsi" w:cstheme="minorHAnsi"/>
          <w:sz w:val="22"/>
          <w:szCs w:val="22"/>
        </w:rPr>
        <w:t xml:space="preserve"> </w:t>
      </w:r>
      <w:r w:rsidRPr="00763E94" w:rsidR="00AF7ECC">
        <w:rPr>
          <w:rFonts w:asciiTheme="minorHAnsi" w:hAnsiTheme="minorHAnsi" w:cstheme="minorHAnsi"/>
          <w:sz w:val="22"/>
          <w:szCs w:val="22"/>
        </w:rPr>
        <w:t>that</w:t>
      </w:r>
      <w:r w:rsidRPr="00763E94" w:rsidR="00821418">
        <w:rPr>
          <w:rFonts w:asciiTheme="minorHAnsi" w:hAnsiTheme="minorHAnsi" w:cstheme="minorHAnsi"/>
          <w:sz w:val="22"/>
          <w:szCs w:val="22"/>
        </w:rPr>
        <w:t xml:space="preserve"> parents </w:t>
      </w:r>
      <w:r w:rsidRPr="00763E94" w:rsidR="00A634E6">
        <w:rPr>
          <w:rFonts w:asciiTheme="minorHAnsi" w:hAnsiTheme="minorHAnsi" w:cstheme="minorHAnsi"/>
          <w:sz w:val="22"/>
          <w:szCs w:val="22"/>
        </w:rPr>
        <w:t>‘</w:t>
      </w:r>
      <w:r w:rsidRPr="00763E94" w:rsidR="00821418">
        <w:rPr>
          <w:rFonts w:asciiTheme="minorHAnsi" w:hAnsiTheme="minorHAnsi" w:cstheme="minorHAnsi"/>
          <w:sz w:val="22"/>
          <w:szCs w:val="22"/>
        </w:rPr>
        <w:t>must ﬁnd a tolerable way of living</w:t>
      </w:r>
      <w:r w:rsidRPr="00763E94" w:rsidR="00A634E6">
        <w:rPr>
          <w:rFonts w:asciiTheme="minorHAnsi" w:hAnsiTheme="minorHAnsi" w:cstheme="minorHAnsi"/>
          <w:sz w:val="22"/>
          <w:szCs w:val="22"/>
        </w:rPr>
        <w:t xml:space="preserve">’ and are tasked with making decisions that </w:t>
      </w:r>
      <w:r w:rsidRPr="00763E94" w:rsidR="006B7031">
        <w:rPr>
          <w:rFonts w:asciiTheme="minorHAnsi" w:hAnsiTheme="minorHAnsi" w:cstheme="minorHAnsi"/>
          <w:sz w:val="22"/>
          <w:szCs w:val="22"/>
        </w:rPr>
        <w:t xml:space="preserve">have implications for </w:t>
      </w:r>
      <w:r w:rsidRPr="00763E94" w:rsidR="00AF7ECC">
        <w:rPr>
          <w:rFonts w:asciiTheme="minorHAnsi" w:hAnsiTheme="minorHAnsi" w:cstheme="minorHAnsi"/>
          <w:sz w:val="22"/>
          <w:szCs w:val="22"/>
        </w:rPr>
        <w:t>wide</w:t>
      </w:r>
      <w:r w:rsidRPr="00763E94" w:rsidR="00C83F6B">
        <w:rPr>
          <w:rFonts w:asciiTheme="minorHAnsi" w:hAnsiTheme="minorHAnsi" w:cstheme="minorHAnsi"/>
          <w:sz w:val="22"/>
          <w:szCs w:val="22"/>
        </w:rPr>
        <w:t xml:space="preserve">r </w:t>
      </w:r>
      <w:r w:rsidRPr="00763E94" w:rsidR="00821418">
        <w:rPr>
          <w:rFonts w:asciiTheme="minorHAnsi" w:hAnsiTheme="minorHAnsi" w:cstheme="minorHAnsi"/>
          <w:sz w:val="22"/>
          <w:szCs w:val="22"/>
        </w:rPr>
        <w:t>family life such as schooling, ﬁnances and employment.’</w:t>
      </w:r>
      <w:r w:rsidRPr="00763E94" w:rsidR="00821418">
        <w:rPr>
          <w:rStyle w:val="FootnoteReference"/>
          <w:rFonts w:asciiTheme="minorHAnsi" w:hAnsiTheme="minorHAnsi" w:cstheme="minorHAnsi"/>
          <w:sz w:val="22"/>
          <w:szCs w:val="22"/>
        </w:rPr>
        <w:footnoteReference w:id="214"/>
      </w:r>
      <w:r w:rsidRPr="00763E94" w:rsidR="00AF7ECC">
        <w:rPr>
          <w:rFonts w:asciiTheme="minorHAnsi" w:hAnsiTheme="minorHAnsi" w:cstheme="minorHAnsi"/>
          <w:sz w:val="22"/>
          <w:szCs w:val="22"/>
        </w:rPr>
        <w:t xml:space="preserve"> </w:t>
      </w:r>
      <w:r w:rsidRPr="00763E94" w:rsidR="008462E4">
        <w:rPr>
          <w:rFonts w:asciiTheme="minorHAnsi" w:hAnsiTheme="minorHAnsi" w:cstheme="minorHAnsi"/>
          <w:sz w:val="22"/>
          <w:szCs w:val="22"/>
        </w:rPr>
        <w:t xml:space="preserve">Abela argues that siblings are </w:t>
      </w:r>
      <w:r w:rsidRPr="00763E94" w:rsidR="00DE0DB7">
        <w:rPr>
          <w:rFonts w:asciiTheme="minorHAnsi" w:hAnsiTheme="minorHAnsi" w:cstheme="minorHAnsi"/>
          <w:sz w:val="22"/>
          <w:szCs w:val="22"/>
        </w:rPr>
        <w:t>often overlooked and that as ‘[s]iblings bear witness to not only the ill child's suffering but also their parents' fear and sorrow</w:t>
      </w:r>
      <w:r w:rsidRPr="00763E94" w:rsidR="0013068E">
        <w:rPr>
          <w:rFonts w:asciiTheme="minorHAnsi" w:hAnsiTheme="minorHAnsi" w:cstheme="minorHAnsi"/>
          <w:sz w:val="22"/>
          <w:szCs w:val="22"/>
        </w:rPr>
        <w:t>’</w:t>
      </w:r>
      <w:r w:rsidRPr="00763E94" w:rsidR="00DE0DB7">
        <w:rPr>
          <w:rFonts w:asciiTheme="minorHAnsi" w:hAnsiTheme="minorHAnsi" w:cstheme="minorHAnsi"/>
          <w:sz w:val="22"/>
          <w:szCs w:val="22"/>
        </w:rPr>
        <w:t>, further research is needed on the impact on them of parental absence</w:t>
      </w:r>
      <w:r w:rsidRPr="00763E94" w:rsidR="00D362C5">
        <w:rPr>
          <w:rFonts w:asciiTheme="minorHAnsi" w:hAnsiTheme="minorHAnsi" w:cstheme="minorHAnsi"/>
          <w:sz w:val="22"/>
          <w:szCs w:val="22"/>
        </w:rPr>
        <w:t xml:space="preserve"> or experiences of visiting the PICU</w:t>
      </w:r>
      <w:r w:rsidRPr="00763E94" w:rsidR="00DE0DB7">
        <w:rPr>
          <w:rFonts w:asciiTheme="minorHAnsi" w:hAnsiTheme="minorHAnsi" w:cstheme="minorHAnsi"/>
          <w:sz w:val="22"/>
          <w:szCs w:val="22"/>
        </w:rPr>
        <w:t>.</w:t>
      </w:r>
      <w:r w:rsidRPr="00763E94" w:rsidR="00DE0DB7">
        <w:rPr>
          <w:rStyle w:val="FootnoteReference"/>
          <w:rFonts w:asciiTheme="minorHAnsi" w:hAnsiTheme="minorHAnsi" w:cstheme="minorHAnsi"/>
          <w:sz w:val="22"/>
          <w:szCs w:val="22"/>
        </w:rPr>
        <w:footnoteReference w:id="215"/>
      </w:r>
      <w:r w:rsidRPr="00763E94" w:rsidR="00DE0DB7">
        <w:rPr>
          <w:rFonts w:asciiTheme="minorHAnsi" w:hAnsiTheme="minorHAnsi" w:cstheme="minorHAnsi"/>
          <w:sz w:val="22"/>
          <w:szCs w:val="22"/>
        </w:rPr>
        <w:t xml:space="preserve"> </w:t>
      </w:r>
      <w:r w:rsidRPr="00763E94" w:rsidR="009A69BF">
        <w:rPr>
          <w:rFonts w:asciiTheme="minorHAnsi" w:hAnsiTheme="minorHAnsi" w:cstheme="minorHAnsi"/>
          <w:sz w:val="22"/>
          <w:szCs w:val="22"/>
        </w:rPr>
        <w:t xml:space="preserve">Lastly, </w:t>
      </w:r>
      <w:r w:rsidRPr="00763E94" w:rsidR="00F71022">
        <w:rPr>
          <w:rFonts w:asciiTheme="minorHAnsi" w:hAnsiTheme="minorHAnsi" w:cstheme="minorHAnsi"/>
          <w:sz w:val="22"/>
          <w:szCs w:val="22"/>
        </w:rPr>
        <w:t xml:space="preserve">Mooney-Doyle and Ulrich </w:t>
      </w:r>
      <w:r w:rsidRPr="00763E94" w:rsidR="00AF7ECC">
        <w:rPr>
          <w:rFonts w:asciiTheme="minorHAnsi" w:hAnsiTheme="minorHAnsi" w:cstheme="minorHAnsi"/>
          <w:sz w:val="22"/>
          <w:szCs w:val="22"/>
        </w:rPr>
        <w:t xml:space="preserve">explore </w:t>
      </w:r>
      <w:r w:rsidRPr="00763E94" w:rsidR="00841E3D">
        <w:rPr>
          <w:rFonts w:asciiTheme="minorHAnsi" w:hAnsiTheme="minorHAnsi" w:cstheme="minorHAnsi"/>
          <w:sz w:val="22"/>
          <w:szCs w:val="22"/>
        </w:rPr>
        <w:t xml:space="preserve">the </w:t>
      </w:r>
      <w:r w:rsidRPr="009146CB" w:rsidR="00841E3D">
        <w:rPr>
          <w:rFonts w:asciiTheme="minorHAnsi" w:hAnsiTheme="minorHAnsi" w:cstheme="minorHAnsi"/>
          <w:sz w:val="22"/>
          <w:szCs w:val="22"/>
        </w:rPr>
        <w:t>wider relational impact of disagreements, drawing our attention to</w:t>
      </w:r>
      <w:r w:rsidRPr="009146CB" w:rsidR="00D173F0">
        <w:rPr>
          <w:rFonts w:asciiTheme="minorHAnsi" w:hAnsiTheme="minorHAnsi" w:cstheme="minorHAnsi"/>
          <w:sz w:val="22"/>
          <w:szCs w:val="22"/>
        </w:rPr>
        <w:t xml:space="preserve"> individual reactions</w:t>
      </w:r>
      <w:r w:rsidRPr="009146CB" w:rsidR="00C407F4">
        <w:rPr>
          <w:rFonts w:asciiTheme="minorHAnsi" w:hAnsiTheme="minorHAnsi" w:cstheme="minorHAnsi"/>
          <w:sz w:val="22"/>
          <w:szCs w:val="22"/>
        </w:rPr>
        <w:t xml:space="preserve"> of grandparents and siblings and how these</w:t>
      </w:r>
      <w:r w:rsidRPr="009146CB" w:rsidR="00D173F0">
        <w:rPr>
          <w:rFonts w:asciiTheme="minorHAnsi" w:hAnsiTheme="minorHAnsi" w:cstheme="minorHAnsi"/>
          <w:sz w:val="22"/>
          <w:szCs w:val="22"/>
        </w:rPr>
        <w:t xml:space="preserve"> </w:t>
      </w:r>
      <w:r w:rsidRPr="009146CB" w:rsidR="0040129D">
        <w:rPr>
          <w:rFonts w:asciiTheme="minorHAnsi" w:hAnsiTheme="minorHAnsi" w:cstheme="minorHAnsi"/>
          <w:sz w:val="22"/>
          <w:szCs w:val="22"/>
        </w:rPr>
        <w:t>play out across the family dynamic, for example in terms of regret</w:t>
      </w:r>
      <w:r w:rsidRPr="009146CB" w:rsidR="00C83F6B">
        <w:rPr>
          <w:rFonts w:asciiTheme="minorHAnsi" w:hAnsiTheme="minorHAnsi" w:cstheme="minorHAnsi"/>
          <w:sz w:val="22"/>
          <w:szCs w:val="22"/>
        </w:rPr>
        <w:t xml:space="preserve"> or criticism of each other</w:t>
      </w:r>
      <w:r w:rsidRPr="009146CB" w:rsidR="00C407F4">
        <w:rPr>
          <w:rFonts w:asciiTheme="minorHAnsi" w:hAnsiTheme="minorHAnsi" w:cstheme="minorHAnsi"/>
          <w:sz w:val="22"/>
          <w:szCs w:val="22"/>
        </w:rPr>
        <w:t>.</w:t>
      </w:r>
      <w:r w:rsidRPr="009146CB" w:rsidR="00C407F4">
        <w:rPr>
          <w:rStyle w:val="FootnoteReference"/>
          <w:rFonts w:asciiTheme="minorHAnsi" w:hAnsiTheme="minorHAnsi" w:cstheme="minorHAnsi"/>
          <w:sz w:val="22"/>
          <w:szCs w:val="22"/>
        </w:rPr>
        <w:footnoteReference w:id="216"/>
      </w:r>
    </w:p>
    <w:p w:rsidRPr="007A53C2" w:rsidR="0096707D" w:rsidP="008F22EA" w:rsidRDefault="0096707D" w14:paraId="05D58222" w14:textId="77777777">
      <w:pPr>
        <w:jc w:val="both"/>
        <w:rPr>
          <w:sz w:val="24"/>
          <w:szCs w:val="24"/>
        </w:rPr>
      </w:pPr>
    </w:p>
    <w:p w:rsidR="008F22EA" w:rsidP="008F22EA" w:rsidRDefault="008F22EA" w14:paraId="033CD590" w14:textId="7C02CBCA">
      <w:pPr>
        <w:jc w:val="both"/>
        <w:rPr>
          <w:i/>
          <w:iCs/>
          <w:color w:val="002060"/>
          <w:sz w:val="24"/>
          <w:szCs w:val="24"/>
        </w:rPr>
      </w:pPr>
      <w:r w:rsidRPr="0080714F">
        <w:rPr>
          <w:i/>
          <w:iCs/>
          <w:color w:val="002060"/>
          <w:sz w:val="24"/>
          <w:szCs w:val="24"/>
        </w:rPr>
        <w:t>iii)</w:t>
      </w:r>
      <w:r w:rsidRPr="0080714F" w:rsidR="00841351">
        <w:rPr>
          <w:i/>
          <w:iCs/>
          <w:color w:val="002060"/>
          <w:sz w:val="24"/>
          <w:szCs w:val="24"/>
        </w:rPr>
        <w:t xml:space="preserve"> </w:t>
      </w:r>
      <w:r w:rsidRPr="0080714F">
        <w:rPr>
          <w:i/>
          <w:iCs/>
          <w:color w:val="002060"/>
          <w:sz w:val="24"/>
          <w:szCs w:val="24"/>
        </w:rPr>
        <w:t xml:space="preserve"> On </w:t>
      </w:r>
      <w:r w:rsidR="00B95A05">
        <w:rPr>
          <w:i/>
          <w:iCs/>
          <w:color w:val="002060"/>
          <w:sz w:val="24"/>
          <w:szCs w:val="24"/>
        </w:rPr>
        <w:t>h</w:t>
      </w:r>
      <w:r w:rsidRPr="0080714F" w:rsidR="00841351">
        <w:rPr>
          <w:i/>
          <w:iCs/>
          <w:color w:val="002060"/>
          <w:sz w:val="24"/>
          <w:szCs w:val="24"/>
        </w:rPr>
        <w:t xml:space="preserve">ealth </w:t>
      </w:r>
      <w:r w:rsidR="00B95A05">
        <w:rPr>
          <w:i/>
          <w:iCs/>
          <w:color w:val="002060"/>
          <w:sz w:val="24"/>
          <w:szCs w:val="24"/>
        </w:rPr>
        <w:t>c</w:t>
      </w:r>
      <w:r w:rsidRPr="0080714F" w:rsidR="00841351">
        <w:rPr>
          <w:i/>
          <w:iCs/>
          <w:color w:val="002060"/>
          <w:sz w:val="24"/>
          <w:szCs w:val="24"/>
        </w:rPr>
        <w:t xml:space="preserve">are </w:t>
      </w:r>
      <w:r w:rsidR="00B95A05">
        <w:rPr>
          <w:i/>
          <w:iCs/>
          <w:color w:val="002060"/>
          <w:sz w:val="24"/>
          <w:szCs w:val="24"/>
        </w:rPr>
        <w:t>p</w:t>
      </w:r>
      <w:r w:rsidRPr="0080714F" w:rsidR="00841351">
        <w:rPr>
          <w:i/>
          <w:iCs/>
          <w:color w:val="002060"/>
          <w:sz w:val="24"/>
          <w:szCs w:val="24"/>
        </w:rPr>
        <w:t>rofessionals</w:t>
      </w:r>
    </w:p>
    <w:p w:rsidRPr="00763E94" w:rsidR="004D66EF" w:rsidP="003768ED" w:rsidRDefault="0097004E" w14:paraId="4456068D" w14:textId="213D2955">
      <w:pPr>
        <w:pStyle w:val="ListParagraph"/>
        <w:numPr>
          <w:ilvl w:val="0"/>
          <w:numId w:val="2"/>
        </w:numPr>
        <w:jc w:val="both"/>
        <w:rPr>
          <w:rFonts w:cstheme="minorHAnsi"/>
        </w:rPr>
      </w:pPr>
      <w:r w:rsidRPr="090C4359">
        <w:t>A large proportion of</w:t>
      </w:r>
      <w:r w:rsidRPr="090C4359" w:rsidR="00B65451">
        <w:t xml:space="preserve"> the </w:t>
      </w:r>
      <w:r w:rsidRPr="090C4359" w:rsidR="00DF535B">
        <w:t>focus</w:t>
      </w:r>
      <w:r w:rsidRPr="090C4359" w:rsidR="000F4228">
        <w:t xml:space="preserve"> in</w:t>
      </w:r>
      <w:r w:rsidRPr="090C4359" w:rsidR="00DF535B">
        <w:t xml:space="preserve"> the literature on impact is on the experience of healthcare professionals</w:t>
      </w:r>
      <w:r w:rsidRPr="090C4359" w:rsidR="00BD7A61">
        <w:t>.</w:t>
      </w:r>
      <w:r w:rsidRPr="090C4359" w:rsidR="000547CE">
        <w:t xml:space="preserve"> </w:t>
      </w:r>
      <w:r w:rsidRPr="090C4359" w:rsidR="00BD7A61">
        <w:t>T</w:t>
      </w:r>
      <w:r w:rsidRPr="090C4359" w:rsidR="000547CE">
        <w:t xml:space="preserve">his may be due, at least in </w:t>
      </w:r>
      <w:r w:rsidRPr="090C4359" w:rsidR="00BD7A61">
        <w:t>p</w:t>
      </w:r>
      <w:r w:rsidRPr="090C4359" w:rsidR="000547CE">
        <w:t>art, to the relative ease</w:t>
      </w:r>
      <w:r w:rsidRPr="090C4359" w:rsidR="00BB1AFB">
        <w:t xml:space="preserve"> of access</w:t>
      </w:r>
      <w:r w:rsidRPr="090C4359" w:rsidR="0079377C">
        <w:t xml:space="preserve"> to</w:t>
      </w:r>
      <w:r w:rsidRPr="090C4359" w:rsidR="00BB1AFB">
        <w:t xml:space="preserve"> and lesser ethical challenge</w:t>
      </w:r>
      <w:r w:rsidRPr="090C4359" w:rsidR="0079377C">
        <w:t>s</w:t>
      </w:r>
      <w:r w:rsidRPr="090C4359" w:rsidR="00EE402C">
        <w:t xml:space="preserve"> for researchers</w:t>
      </w:r>
      <w:r w:rsidRPr="090C4359" w:rsidR="000547CE">
        <w:t xml:space="preserve"> </w:t>
      </w:r>
      <w:r w:rsidRPr="090C4359" w:rsidR="00EE402C">
        <w:t>in</w:t>
      </w:r>
      <w:r w:rsidRPr="090C4359" w:rsidR="000547CE">
        <w:t xml:space="preserve"> </w:t>
      </w:r>
      <w:r w:rsidRPr="090C4359" w:rsidR="00BD7A61">
        <w:t>surveying this population</w:t>
      </w:r>
      <w:r w:rsidRPr="090C4359" w:rsidR="0079377C">
        <w:t>,</w:t>
      </w:r>
      <w:r w:rsidRPr="090C4359" w:rsidR="00BB1AFB">
        <w:t xml:space="preserve"> as compared with children and families. </w:t>
      </w:r>
      <w:r w:rsidRPr="090C4359" w:rsidR="00366FCF">
        <w:t xml:space="preserve"> </w:t>
      </w:r>
      <w:r w:rsidRPr="090C4359" w:rsidR="00285497">
        <w:t xml:space="preserve">For </w:t>
      </w:r>
      <w:r w:rsidRPr="090C4359" w:rsidR="00C21F31">
        <w:t>Mooney-Doyle and Ulrich</w:t>
      </w:r>
      <w:r w:rsidRPr="090C4359" w:rsidR="00285497">
        <w:t xml:space="preserve"> the question of moral distress is as pertinent for healthcare professionals as it is for families</w:t>
      </w:r>
      <w:r w:rsidRPr="090C4359" w:rsidR="00667104">
        <w:t>.</w:t>
      </w:r>
      <w:r w:rsidRPr="090C4359" w:rsidR="0097497B">
        <w:rPr>
          <w:rStyle w:val="FootnoteReference"/>
        </w:rPr>
        <w:footnoteReference w:id="217"/>
      </w:r>
      <w:r w:rsidRPr="090C4359" w:rsidR="00667104">
        <w:t xml:space="preserve"> </w:t>
      </w:r>
      <w:r w:rsidRPr="090C4359" w:rsidR="007E37B7">
        <w:t xml:space="preserve">Moral distress </w:t>
      </w:r>
      <w:r w:rsidRPr="090C4359" w:rsidR="001337EE">
        <w:t>as</w:t>
      </w:r>
      <w:r w:rsidRPr="090C4359" w:rsidR="007E37B7">
        <w:t xml:space="preserve"> defined</w:t>
      </w:r>
      <w:r w:rsidRPr="090C4359" w:rsidR="00D93AF7">
        <w:t xml:space="preserve"> by the </w:t>
      </w:r>
      <w:r w:rsidRPr="090C4359" w:rsidR="00713512">
        <w:t xml:space="preserve">British Medical Association </w:t>
      </w:r>
      <w:r w:rsidRPr="090C4359" w:rsidR="001337EE">
        <w:t>is</w:t>
      </w:r>
      <w:r w:rsidRPr="090C4359" w:rsidR="00713512">
        <w:t xml:space="preserve"> ‘the psychological </w:t>
      </w:r>
      <w:r w:rsidRPr="090C4359" w:rsidR="005E6EA6">
        <w:t>unease generated where professionals identify an ethically correct course of action</w:t>
      </w:r>
      <w:r w:rsidRPr="090C4359" w:rsidR="006854FB">
        <w:t xml:space="preserve"> to take but are constrained in their ability to take that action</w:t>
      </w:r>
      <w:r w:rsidRPr="090C4359" w:rsidR="006A1417">
        <w:t>’</w:t>
      </w:r>
      <w:r w:rsidRPr="090C4359" w:rsidR="00CF6770">
        <w:t xml:space="preserve"> with constraints largely coming from </w:t>
      </w:r>
      <w:r w:rsidRPr="090C4359" w:rsidR="006A2CE6">
        <w:t>‘institutionally required behaviour’.</w:t>
      </w:r>
      <w:r w:rsidRPr="090C4359" w:rsidR="00467BCC">
        <w:rPr>
          <w:rStyle w:val="FootnoteReference"/>
        </w:rPr>
        <w:footnoteReference w:id="218"/>
      </w:r>
      <w:r w:rsidRPr="090C4359" w:rsidR="006A2CE6">
        <w:t xml:space="preserve"> Mooney-Doyle and Ulrich </w:t>
      </w:r>
      <w:r w:rsidRPr="090C4359" w:rsidR="0062428B">
        <w:t>observ</w:t>
      </w:r>
      <w:r w:rsidRPr="090C4359" w:rsidR="00667104">
        <w:t>e</w:t>
      </w:r>
      <w:r w:rsidRPr="090C4359" w:rsidR="0062428B">
        <w:t xml:space="preserve"> that the phenomenon</w:t>
      </w:r>
      <w:r w:rsidRPr="090C4359" w:rsidR="001E32F8">
        <w:t xml:space="preserve"> </w:t>
      </w:r>
      <w:r w:rsidRPr="090C4359" w:rsidR="00712BA8">
        <w:t>‘has gained increased attention across disciplines, with growing recognition that clinical encounters can promote feelings of helplessness, hopelessness, distress, and secondary trauma in healthcare providers</w:t>
      </w:r>
      <w:r w:rsidRPr="090C4359" w:rsidR="0062428B">
        <w:t>’</w:t>
      </w:r>
      <w:r w:rsidRPr="090C4359" w:rsidR="001E32F8">
        <w:t xml:space="preserve">; highlighting that </w:t>
      </w:r>
      <w:r w:rsidRPr="090C4359" w:rsidR="00BC0562">
        <w:t xml:space="preserve">the most prominent causes </w:t>
      </w:r>
      <w:r w:rsidRPr="090C4359" w:rsidR="001E32F8">
        <w:t>are</w:t>
      </w:r>
      <w:r w:rsidRPr="090C4359" w:rsidR="00BC0562">
        <w:t xml:space="preserve"> ‘</w:t>
      </w:r>
      <w:r w:rsidRPr="090C4359" w:rsidR="00161F03">
        <w:t>challenging families and those requesting aggressive treatments</w:t>
      </w:r>
      <w:r w:rsidRPr="090C4359" w:rsidR="00BC0562">
        <w:t>’.</w:t>
      </w:r>
      <w:r w:rsidRPr="090C4359" w:rsidR="001213E0">
        <w:rPr>
          <w:rStyle w:val="FootnoteReference"/>
        </w:rPr>
        <w:footnoteReference w:id="219"/>
      </w:r>
      <w:r w:rsidRPr="090C4359" w:rsidR="00DB10A7">
        <w:t xml:space="preserve"> </w:t>
      </w:r>
      <w:r w:rsidRPr="090C4359" w:rsidR="00FA62C7">
        <w:t>Additionally,</w:t>
      </w:r>
      <w:r w:rsidRPr="090C4359" w:rsidR="001C04CB">
        <w:t xml:space="preserve"> a shift to the legal </w:t>
      </w:r>
      <w:r w:rsidRPr="090C4359" w:rsidR="00BE1D52">
        <w:t xml:space="preserve">process </w:t>
      </w:r>
      <w:r w:rsidRPr="090C4359" w:rsidR="00544E2D">
        <w:t>in</w:t>
      </w:r>
      <w:r w:rsidRPr="090C4359" w:rsidR="00BE1D52">
        <w:t xml:space="preserve"> intractable disputes, means that professionals ‘</w:t>
      </w:r>
      <w:r w:rsidRPr="090C4359" w:rsidR="005C2BC6">
        <w:t>move from our traditional paediatric platform, based on consensus and mediation, to an arena of adversarial argument</w:t>
      </w:r>
      <w:r w:rsidRPr="090C4359" w:rsidR="00BE1D52">
        <w:t>’.</w:t>
      </w:r>
      <w:r w:rsidRPr="090C4359" w:rsidR="00BE1D52">
        <w:rPr>
          <w:rStyle w:val="FootnoteReference"/>
        </w:rPr>
        <w:footnoteReference w:id="220"/>
      </w:r>
      <w:r w:rsidRPr="090C4359" w:rsidR="00DC7D9F">
        <w:t xml:space="preserve"> </w:t>
      </w:r>
      <w:r w:rsidRPr="090C4359" w:rsidR="00BD18D3">
        <w:t xml:space="preserve">Arbuthnot J in </w:t>
      </w:r>
      <w:r w:rsidRPr="090C4359" w:rsidR="00BD18D3">
        <w:rPr>
          <w:i/>
          <w:iCs/>
        </w:rPr>
        <w:t>Battersbee</w:t>
      </w:r>
      <w:r w:rsidRPr="090C4359" w:rsidR="00B03E6E">
        <w:rPr>
          <w:i/>
          <w:iCs/>
        </w:rPr>
        <w:t xml:space="preserve"> </w:t>
      </w:r>
      <w:r w:rsidRPr="090C4359" w:rsidR="00B836FE">
        <w:t>noted the particular impact on nurses</w:t>
      </w:r>
      <w:r w:rsidRPr="090C4359" w:rsidR="003B66E3">
        <w:t xml:space="preserve"> </w:t>
      </w:r>
      <w:r w:rsidRPr="090C4359" w:rsidR="00B03E6E">
        <w:t>‘</w:t>
      </w:r>
      <w:r w:rsidRPr="00763E94" w:rsidR="00BD18D3">
        <w:t>who have 24</w:t>
      </w:r>
      <w:r w:rsidRPr="00763E94" w:rsidR="00274A2A">
        <w:t>-</w:t>
      </w:r>
      <w:r w:rsidRPr="00763E94" w:rsidR="00BD18D3">
        <w:t>hour care of Archie who have found in recent weeks an ethical strain that they have struggled with’.</w:t>
      </w:r>
      <w:r w:rsidRPr="00763E94" w:rsidR="009D1689">
        <w:rPr>
          <w:rStyle w:val="FootnoteReference"/>
        </w:rPr>
        <w:footnoteReference w:id="221"/>
      </w:r>
      <w:r w:rsidRPr="090C4359" w:rsidR="00544E2D">
        <w:t xml:space="preserve">  Gollop and</w:t>
      </w:r>
      <w:r w:rsidRPr="090C4359" w:rsidR="00B836FE">
        <w:t xml:space="preserve"> </w:t>
      </w:r>
      <w:r w:rsidRPr="090C4359" w:rsidR="00544E2D">
        <w:t>Pope</w:t>
      </w:r>
      <w:r w:rsidRPr="090C4359" w:rsidR="00B836FE">
        <w:t xml:space="preserve"> also explore the acute i</w:t>
      </w:r>
      <w:r w:rsidRPr="090C4359" w:rsidR="009D40BC">
        <w:t>mpact on PICU nurses, who they claim suffer the most</w:t>
      </w:r>
      <w:r w:rsidRPr="090C4359" w:rsidR="00274A2A">
        <w:t xml:space="preserve"> of all healthcare professionals:</w:t>
      </w:r>
    </w:p>
    <w:p w:rsidRPr="00DA5F09" w:rsidR="004D66EF" w:rsidP="00FA68AC" w:rsidRDefault="004D66EF" w14:paraId="148F7E8F" w14:textId="77777777">
      <w:pPr>
        <w:pStyle w:val="ListParagraph"/>
        <w:jc w:val="both"/>
        <w:rPr>
          <w:rFonts w:cstheme="minorHAnsi"/>
        </w:rPr>
      </w:pPr>
    </w:p>
    <w:p w:rsidRPr="00D7682E" w:rsidR="00BD18D3" w:rsidP="00D7682E" w:rsidRDefault="00FA68AC" w14:paraId="381F6E3B" w14:textId="20C956A6">
      <w:pPr>
        <w:pStyle w:val="ListParagraph"/>
        <w:ind w:left="1440"/>
        <w:jc w:val="both"/>
        <w:rPr>
          <w:rFonts w:cstheme="minorHAnsi"/>
        </w:rPr>
      </w:pPr>
      <w:r w:rsidRPr="00DA5F09">
        <w:rPr>
          <w:rFonts w:cstheme="minorHAnsi"/>
        </w:rPr>
        <w:t>What nurses do feel, like doctors, is an innate and powerful drive to first, do no harm. A nurse required to provide life sustaining care to a child when experience tells her that care is harming not helping the patient, whilst simultaneously sharing the PICU bed space with exhausted, angry, desperate parents who know the nurse is conflicted and believe that she is “not on their side”,</w:t>
      </w:r>
      <w:r w:rsidR="00FB4C0B">
        <w:rPr>
          <w:rFonts w:cstheme="minorHAnsi"/>
        </w:rPr>
        <w:t xml:space="preserve"> </w:t>
      </w:r>
      <w:r w:rsidRPr="00DA5F09">
        <w:rPr>
          <w:rFonts w:cstheme="minorHAnsi"/>
        </w:rPr>
        <w:t>is under enormous psychological pressure.</w:t>
      </w:r>
      <w:r w:rsidRPr="00DA5F09">
        <w:rPr>
          <w:rStyle w:val="FootnoteReference"/>
          <w:rFonts w:cstheme="minorHAnsi"/>
        </w:rPr>
        <w:footnoteReference w:id="222"/>
      </w:r>
    </w:p>
    <w:p w:rsidRPr="006E2743" w:rsidR="006E2743" w:rsidP="006E2743" w:rsidRDefault="006E2743" w14:paraId="353EE45C" w14:textId="77777777">
      <w:pPr>
        <w:jc w:val="both"/>
        <w:rPr>
          <w:sz w:val="24"/>
          <w:szCs w:val="24"/>
        </w:rPr>
      </w:pPr>
    </w:p>
    <w:p w:rsidRPr="00D7682E" w:rsidR="009025F9" w:rsidP="00D7682E" w:rsidRDefault="002E6E82" w14:paraId="04B95A26" w14:textId="0A8B50C3">
      <w:pPr>
        <w:pStyle w:val="ListParagraph"/>
        <w:numPr>
          <w:ilvl w:val="0"/>
          <w:numId w:val="2"/>
        </w:numPr>
        <w:jc w:val="both"/>
        <w:rPr>
          <w:rFonts w:ascii="Segoe UI" w:hAnsi="Segoe UI" w:cs="Segoe UI"/>
        </w:rPr>
      </w:pPr>
      <w:r w:rsidRPr="090C4359">
        <w:t xml:space="preserve">These </w:t>
      </w:r>
      <w:r w:rsidRPr="090C4359" w:rsidR="008D30FD">
        <w:t>psychological implications</w:t>
      </w:r>
      <w:r w:rsidRPr="090C4359">
        <w:t xml:space="preserve"> are</w:t>
      </w:r>
      <w:r w:rsidRPr="090C4359" w:rsidR="008D30FD">
        <w:t xml:space="preserve"> </w:t>
      </w:r>
      <w:r w:rsidRPr="090C4359" w:rsidR="004D66EF">
        <w:t>recount</w:t>
      </w:r>
      <w:r w:rsidRPr="090C4359" w:rsidR="0036237E">
        <w:t>ed</w:t>
      </w:r>
      <w:r w:rsidRPr="090C4359" w:rsidR="00EF39F5">
        <w:t xml:space="preserve"> in the literature, with</w:t>
      </w:r>
      <w:r w:rsidRPr="090C4359" w:rsidR="00DB10A7">
        <w:t xml:space="preserve"> </w:t>
      </w:r>
      <w:r w:rsidRPr="090C4359" w:rsidR="004D66EF">
        <w:t>staff</w:t>
      </w:r>
      <w:r w:rsidRPr="090C4359" w:rsidR="00EF39F5">
        <w:t xml:space="preserve"> </w:t>
      </w:r>
      <w:r w:rsidRPr="090C4359" w:rsidR="004D66EF">
        <w:t>‘</w:t>
      </w:r>
      <w:r w:rsidRPr="090C4359" w:rsidR="008D30FD">
        <w:rPr>
          <w:color w:val="000000"/>
          <w:shd w:val="clear" w:color="auto" w:fill="FFFFFF"/>
        </w:rPr>
        <w:t>left anxious and bruised’</w:t>
      </w:r>
      <w:r w:rsidRPr="090C4359" w:rsidR="004D66EF">
        <w:rPr>
          <w:color w:val="000000"/>
          <w:shd w:val="clear" w:color="auto" w:fill="FFFFFF"/>
        </w:rPr>
        <w:t xml:space="preserve"> after conflict</w:t>
      </w:r>
      <w:r w:rsidRPr="090C4359" w:rsidR="008D30FD">
        <w:rPr>
          <w:color w:val="000000"/>
          <w:shd w:val="clear" w:color="auto" w:fill="FFFFFF"/>
        </w:rPr>
        <w:t>.</w:t>
      </w:r>
      <w:r w:rsidRPr="090C4359" w:rsidR="008D30FD">
        <w:rPr>
          <w:rStyle w:val="FootnoteReference"/>
          <w:color w:val="000000"/>
          <w:shd w:val="clear" w:color="auto" w:fill="FFFFFF"/>
        </w:rPr>
        <w:footnoteReference w:id="223"/>
      </w:r>
      <w:r w:rsidRPr="090C4359" w:rsidR="004D66EF">
        <w:rPr>
          <w:color w:val="000000"/>
          <w:shd w:val="clear" w:color="auto" w:fill="FFFFFF"/>
        </w:rPr>
        <w:t xml:space="preserve"> </w:t>
      </w:r>
      <w:r w:rsidRPr="090C4359" w:rsidR="004D66EF">
        <w:t xml:space="preserve">Birchley et </w:t>
      </w:r>
      <w:r w:rsidRPr="090C4359" w:rsidR="00C47CEC">
        <w:t>a</w:t>
      </w:r>
      <w:r w:rsidRPr="090C4359" w:rsidR="004D66EF">
        <w:t xml:space="preserve">l claim that professionals ‘intrinsic desire to “do the right thing” through leading in complex cases may override their regard for their personal well- being, and increase their vulnerability to experiencing moral distress, compassion fatigue and burnout’. </w:t>
      </w:r>
      <w:r w:rsidRPr="090C4359" w:rsidR="004D66EF">
        <w:rPr>
          <w:rStyle w:val="FootnoteReference"/>
        </w:rPr>
        <w:footnoteReference w:id="224"/>
      </w:r>
      <w:r w:rsidRPr="090C4359" w:rsidR="009C2542">
        <w:t xml:space="preserve"> </w:t>
      </w:r>
      <w:r w:rsidRPr="090C4359" w:rsidR="001C014F">
        <w:t>Wallis describes the impact of court proceedings on healthcare professional</w:t>
      </w:r>
      <w:r w:rsidRPr="090C4359" w:rsidR="009025F9">
        <w:t>s:</w:t>
      </w:r>
    </w:p>
    <w:p w:rsidRPr="00B42031" w:rsidR="009025F9" w:rsidP="009025F9" w:rsidRDefault="009025F9" w14:paraId="55C41A47" w14:textId="77777777">
      <w:pPr>
        <w:pStyle w:val="ListParagraph"/>
        <w:rPr>
          <w:rFonts w:ascii="Segoe UI" w:hAnsi="Segoe UI" w:cs="Segoe UI"/>
        </w:rPr>
      </w:pPr>
    </w:p>
    <w:p w:rsidRPr="00B42031" w:rsidR="001C014F" w:rsidP="00701EB2" w:rsidRDefault="001C014F" w14:paraId="57474F75" w14:textId="3893EBA0">
      <w:pPr>
        <w:pStyle w:val="ListParagraph"/>
        <w:ind w:left="1440"/>
        <w:jc w:val="both"/>
        <w:rPr>
          <w:rFonts w:cstheme="minorHAnsi"/>
        </w:rPr>
      </w:pPr>
      <w:r w:rsidRPr="00B42031">
        <w:rPr>
          <w:rFonts w:cstheme="minorHAnsi"/>
        </w:rPr>
        <w:t>Paediatricians, who are not innately confrontational and are trained to seek compromise and consensus, are thrust into a world of adversary. Although we are witnesses to the facts, we enter the courts with an opinion which is of course challenged. It is inevitable. That is how the judicial system works. It is the role of the courts to consider a declaration of lawfulness, but inevitably the previous dilemma between the paediatrician and the family is now converted into a ‘if you win/I lose’ situation.</w:t>
      </w:r>
      <w:r w:rsidRPr="00B42031" w:rsidR="009025F9">
        <w:rPr>
          <w:rStyle w:val="FootnoteReference"/>
          <w:rFonts w:cstheme="minorHAnsi"/>
        </w:rPr>
        <w:footnoteReference w:id="225"/>
      </w:r>
    </w:p>
    <w:p w:rsidRPr="00B42031" w:rsidR="008D2258" w:rsidP="00087972" w:rsidRDefault="008D2258" w14:paraId="1D144779" w14:textId="77777777">
      <w:pPr>
        <w:pStyle w:val="ListParagraph"/>
        <w:jc w:val="both"/>
      </w:pPr>
    </w:p>
    <w:p w:rsidRPr="00B42031" w:rsidR="00E10D9C" w:rsidP="00EF638C" w:rsidRDefault="003D756F" w14:paraId="196E41C9" w14:textId="5C521C1F">
      <w:pPr>
        <w:pStyle w:val="ListParagraph"/>
        <w:numPr>
          <w:ilvl w:val="0"/>
          <w:numId w:val="2"/>
        </w:numPr>
        <w:jc w:val="both"/>
        <w:rPr>
          <w:rFonts w:cstheme="minorHAnsi"/>
        </w:rPr>
      </w:pPr>
      <w:r w:rsidRPr="00B42031">
        <w:t xml:space="preserve">The impact of public exposure through media and online commentary </w:t>
      </w:r>
      <w:r w:rsidRPr="00B42031" w:rsidR="002C0478">
        <w:t xml:space="preserve">can be particularly severe. Mir </w:t>
      </w:r>
      <w:r w:rsidRPr="00B42031" w:rsidR="00CF4730">
        <w:t xml:space="preserve">opines that </w:t>
      </w:r>
      <w:r w:rsidRPr="090C4359" w:rsidR="00CF4730">
        <w:t>‘an equally worrying aspect has been the public criticism of the medical “establishment” in the mainstream media</w:t>
      </w:r>
      <w:r w:rsidRPr="090C4359" w:rsidR="00B7085B">
        <w:t xml:space="preserve"> </w:t>
      </w:r>
      <w:r w:rsidRPr="090C4359" w:rsidR="00CF4730">
        <w:t>(…)</w:t>
      </w:r>
      <w:r w:rsidRPr="090C4359" w:rsidR="00B7085B">
        <w:t xml:space="preserve">. </w:t>
      </w:r>
      <w:r w:rsidRPr="090C4359" w:rsidR="00CF4730">
        <w:t>It is understandable that a disagreement of this nature will inevitably lead to emotions running sky-high, but vilifying healthcare professionals in public will und</w:t>
      </w:r>
      <w:r w:rsidRPr="090C4359" w:rsidR="00192EE4">
        <w:t>o</w:t>
      </w:r>
      <w:r w:rsidRPr="090C4359" w:rsidR="00CF4730">
        <w:t>ubtedly serve to undermine clinical medicine in general’.</w:t>
      </w:r>
      <w:r w:rsidRPr="090C4359" w:rsidR="00CF4730">
        <w:rPr>
          <w:rStyle w:val="FootnoteReference"/>
        </w:rPr>
        <w:footnoteReference w:id="226"/>
      </w:r>
      <w:r w:rsidRPr="090C4359" w:rsidR="000255CF">
        <w:t xml:space="preserve"> As reported in the 2018 literature review, </w:t>
      </w:r>
      <w:r w:rsidRPr="00B42031" w:rsidR="00881D2C">
        <w:t>Forbat</w:t>
      </w:r>
      <w:r w:rsidRPr="00B42031" w:rsidR="000255CF">
        <w:t xml:space="preserve"> highlights the </w:t>
      </w:r>
      <w:r w:rsidRPr="00B42031" w:rsidR="006A7DC5">
        <w:t>additional distress caused by staff’s lack of opportunity to reply</w:t>
      </w:r>
      <w:r w:rsidRPr="00B42031" w:rsidR="004C479E">
        <w:t xml:space="preserve"> to news stories – ‘</w:t>
      </w:r>
      <w:r w:rsidRPr="090C4359" w:rsidR="004C479E">
        <w:rPr>
          <w:color w:val="000000"/>
          <w:shd w:val="clear" w:color="auto" w:fill="FFFFFF"/>
        </w:rPr>
        <w:t>[b]</w:t>
      </w:r>
      <w:r w:rsidRPr="090C4359" w:rsidR="00881D2C">
        <w:rPr>
          <w:color w:val="000000"/>
          <w:shd w:val="clear" w:color="auto" w:fill="FFFFFF"/>
        </w:rPr>
        <w:t>ound by patient confidentiality they have no voice to express the profound and lasting impact such conflicts and court cases have on them and they are unable to publicly talk about being threatened or attacked at work’.</w:t>
      </w:r>
      <w:r w:rsidRPr="090C4359" w:rsidR="00881D2C">
        <w:rPr>
          <w:rStyle w:val="FootnoteReference"/>
          <w:color w:val="000000"/>
          <w:shd w:val="clear" w:color="auto" w:fill="FFFFFF"/>
        </w:rPr>
        <w:footnoteReference w:id="227"/>
      </w:r>
    </w:p>
    <w:p w:rsidRPr="00B42031" w:rsidR="00AF2721" w:rsidP="00AF2721" w:rsidRDefault="00AF2721" w14:paraId="5BA4D508" w14:textId="77777777">
      <w:pPr>
        <w:jc w:val="both"/>
        <w:rPr>
          <w:rFonts w:cstheme="minorHAnsi"/>
        </w:rPr>
      </w:pPr>
    </w:p>
    <w:p w:rsidRPr="00B42031" w:rsidR="00B54F67" w:rsidP="003768ED" w:rsidRDefault="00193E4A" w14:paraId="0633C64E" w14:textId="35AE9ED4">
      <w:pPr>
        <w:pStyle w:val="Normal0"/>
        <w:numPr>
          <w:ilvl w:val="0"/>
          <w:numId w:val="2"/>
        </w:numPr>
        <w:jc w:val="both"/>
        <w:rPr>
          <w:rFonts w:asciiTheme="minorHAnsi" w:hAnsiTheme="minorHAnsi" w:cstheme="minorHAnsi"/>
          <w:sz w:val="22"/>
          <w:szCs w:val="22"/>
        </w:rPr>
      </w:pPr>
      <w:r w:rsidRPr="090C4359">
        <w:rPr>
          <w:rFonts w:asciiTheme="minorHAnsi" w:hAnsiTheme="minorHAnsi" w:cstheme="minorBidi"/>
          <w:sz w:val="22"/>
          <w:szCs w:val="22"/>
        </w:rPr>
        <w:t xml:space="preserve">Finally, a small but useful recent study </w:t>
      </w:r>
      <w:r w:rsidRPr="090C4359" w:rsidR="00DC7D9F">
        <w:rPr>
          <w:rFonts w:asciiTheme="minorHAnsi" w:hAnsiTheme="minorHAnsi" w:cstheme="minorBidi"/>
          <w:sz w:val="22"/>
          <w:szCs w:val="22"/>
        </w:rPr>
        <w:t xml:space="preserve">by Bell and Brierley </w:t>
      </w:r>
      <w:r w:rsidRPr="090C4359" w:rsidR="00C319F9">
        <w:rPr>
          <w:rFonts w:asciiTheme="minorHAnsi" w:hAnsiTheme="minorHAnsi" w:cstheme="minorBidi"/>
          <w:sz w:val="22"/>
          <w:szCs w:val="22"/>
        </w:rPr>
        <w:t xml:space="preserve">on the impact of </w:t>
      </w:r>
      <w:r w:rsidRPr="090C4359" w:rsidR="00C023DF">
        <w:rPr>
          <w:rFonts w:asciiTheme="minorHAnsi" w:hAnsiTheme="minorHAnsi" w:cstheme="minorBidi"/>
          <w:sz w:val="22"/>
          <w:szCs w:val="22"/>
        </w:rPr>
        <w:t>high-profile cases</w:t>
      </w:r>
      <w:r w:rsidRPr="090C4359" w:rsidR="00C319F9">
        <w:rPr>
          <w:rFonts w:asciiTheme="minorHAnsi" w:hAnsiTheme="minorHAnsi" w:cstheme="minorBidi"/>
          <w:sz w:val="22"/>
          <w:szCs w:val="22"/>
        </w:rPr>
        <w:t xml:space="preserve"> on PICU trainees revealed that</w:t>
      </w:r>
      <w:r w:rsidRPr="090C4359" w:rsidR="00C023DF">
        <w:rPr>
          <w:rFonts w:asciiTheme="minorHAnsi" w:hAnsiTheme="minorHAnsi" w:cstheme="minorBidi"/>
          <w:sz w:val="22"/>
          <w:szCs w:val="22"/>
        </w:rPr>
        <w:t xml:space="preserve"> t</w:t>
      </w:r>
      <w:r w:rsidRPr="090C4359" w:rsidR="00BC4111">
        <w:rPr>
          <w:rFonts w:asciiTheme="minorHAnsi" w:hAnsiTheme="minorHAnsi" w:cstheme="minorBidi"/>
          <w:sz w:val="22"/>
          <w:szCs w:val="22"/>
        </w:rPr>
        <w:t>hey</w:t>
      </w:r>
      <w:r w:rsidRPr="090C4359" w:rsidR="00C023DF">
        <w:rPr>
          <w:rFonts w:asciiTheme="minorHAnsi" w:hAnsiTheme="minorHAnsi" w:cstheme="minorBidi"/>
          <w:sz w:val="22"/>
          <w:szCs w:val="22"/>
        </w:rPr>
        <w:t xml:space="preserve"> were concerned about the impact on their future careers</w:t>
      </w:r>
      <w:r w:rsidRPr="090C4359" w:rsidR="00141631">
        <w:rPr>
          <w:rFonts w:asciiTheme="minorHAnsi" w:hAnsiTheme="minorHAnsi" w:cstheme="minorBidi"/>
          <w:sz w:val="22"/>
          <w:szCs w:val="22"/>
        </w:rPr>
        <w:t xml:space="preserve">, particularly in relation to lack of preparation and </w:t>
      </w:r>
      <w:r w:rsidRPr="090C4359" w:rsidR="00C37694">
        <w:rPr>
          <w:rFonts w:asciiTheme="minorHAnsi" w:hAnsiTheme="minorHAnsi" w:cstheme="minorBidi"/>
          <w:sz w:val="22"/>
          <w:szCs w:val="22"/>
        </w:rPr>
        <w:t>legal and ethical training needed</w:t>
      </w:r>
      <w:r w:rsidRPr="090C4359" w:rsidR="00141631">
        <w:rPr>
          <w:rFonts w:asciiTheme="minorHAnsi" w:hAnsiTheme="minorHAnsi" w:cstheme="minorBidi"/>
          <w:sz w:val="22"/>
          <w:szCs w:val="22"/>
        </w:rPr>
        <w:t xml:space="preserve"> to handle such cases</w:t>
      </w:r>
      <w:r w:rsidRPr="090C4359" w:rsidR="00421C03">
        <w:rPr>
          <w:rFonts w:asciiTheme="minorHAnsi" w:hAnsiTheme="minorHAnsi" w:cstheme="minorBidi"/>
          <w:sz w:val="22"/>
          <w:szCs w:val="22"/>
        </w:rPr>
        <w:t xml:space="preserve">. </w:t>
      </w:r>
      <w:r w:rsidRPr="090C4359" w:rsidR="00C37694">
        <w:rPr>
          <w:rFonts w:asciiTheme="minorHAnsi" w:hAnsiTheme="minorHAnsi" w:cstheme="minorBidi"/>
          <w:sz w:val="22"/>
          <w:szCs w:val="22"/>
        </w:rPr>
        <w:t xml:space="preserve">They note </w:t>
      </w:r>
      <w:r w:rsidRPr="090C4359" w:rsidR="00485198">
        <w:rPr>
          <w:rFonts w:asciiTheme="minorHAnsi" w:hAnsiTheme="minorHAnsi" w:cstheme="minorBidi"/>
          <w:sz w:val="22"/>
          <w:szCs w:val="22"/>
        </w:rPr>
        <w:t>that ‘[a</w:t>
      </w:r>
      <w:r w:rsidRPr="090C4359" w:rsidR="00421C03">
        <w:rPr>
          <w:rFonts w:asciiTheme="minorHAnsi" w:hAnsiTheme="minorHAnsi" w:cstheme="minorBidi"/>
          <w:sz w:val="22"/>
          <w:szCs w:val="22"/>
        </w:rPr>
        <w:t>ll</w:t>
      </w:r>
      <w:r w:rsidRPr="090C4359" w:rsidR="00485198">
        <w:rPr>
          <w:rFonts w:asciiTheme="minorHAnsi" w:hAnsiTheme="minorHAnsi" w:cstheme="minorBidi"/>
          <w:sz w:val="22"/>
          <w:szCs w:val="22"/>
        </w:rPr>
        <w:t>]</w:t>
      </w:r>
      <w:r w:rsidRPr="090C4359" w:rsidR="00421C03">
        <w:rPr>
          <w:rFonts w:asciiTheme="minorHAnsi" w:hAnsiTheme="minorHAnsi" w:cstheme="minorBidi"/>
          <w:sz w:val="22"/>
          <w:szCs w:val="22"/>
        </w:rPr>
        <w:t xml:space="preserve"> had purposefully minimised their social media presence, being concerned about press and social media in these cases</w:t>
      </w:r>
      <w:r w:rsidRPr="090C4359" w:rsidR="00485198">
        <w:rPr>
          <w:rFonts w:asciiTheme="minorHAnsi" w:hAnsiTheme="minorHAnsi" w:cstheme="minorBidi"/>
          <w:sz w:val="22"/>
          <w:szCs w:val="22"/>
        </w:rPr>
        <w:t xml:space="preserve"> (…)</w:t>
      </w:r>
      <w:r w:rsidRPr="090C4359" w:rsidR="000E04AF">
        <w:rPr>
          <w:rFonts w:asciiTheme="minorHAnsi" w:hAnsiTheme="minorHAnsi" w:cstheme="minorBidi"/>
          <w:sz w:val="22"/>
          <w:szCs w:val="22"/>
        </w:rPr>
        <w:t xml:space="preserve">. </w:t>
      </w:r>
      <w:r w:rsidRPr="090C4359" w:rsidR="00421C03">
        <w:rPr>
          <w:rFonts w:asciiTheme="minorHAnsi" w:hAnsiTheme="minorHAnsi" w:cstheme="minorBidi"/>
          <w:sz w:val="22"/>
          <w:szCs w:val="22"/>
        </w:rPr>
        <w:t>All felt these issues had made them re-consider training in PIC medicine</w:t>
      </w:r>
      <w:r w:rsidRPr="090C4359" w:rsidR="00830518">
        <w:rPr>
          <w:rFonts w:asciiTheme="minorHAnsi" w:hAnsiTheme="minorHAnsi" w:cstheme="minorBidi"/>
          <w:sz w:val="22"/>
          <w:szCs w:val="22"/>
        </w:rPr>
        <w:t>’.</w:t>
      </w:r>
      <w:r w:rsidRPr="090C4359" w:rsidR="00830518">
        <w:rPr>
          <w:rStyle w:val="FootnoteReference"/>
          <w:rFonts w:asciiTheme="minorHAnsi" w:hAnsiTheme="minorHAnsi" w:cstheme="minorBidi"/>
          <w:sz w:val="22"/>
          <w:szCs w:val="22"/>
        </w:rPr>
        <w:footnoteReference w:id="228"/>
      </w:r>
    </w:p>
    <w:p w:rsidRPr="00087972" w:rsidR="00545B96" w:rsidP="00B54F67" w:rsidRDefault="00545B96" w14:paraId="004DEFCB" w14:textId="77777777">
      <w:pPr>
        <w:pStyle w:val="ListParagraph"/>
        <w:jc w:val="both"/>
        <w:rPr>
          <w:sz w:val="24"/>
          <w:szCs w:val="24"/>
        </w:rPr>
      </w:pPr>
    </w:p>
    <w:p w:rsidR="006A0590" w:rsidP="009B13D3" w:rsidRDefault="00841351" w14:paraId="3CA02713" w14:textId="727F919A">
      <w:pPr>
        <w:jc w:val="both"/>
        <w:rPr>
          <w:i/>
          <w:iCs/>
          <w:color w:val="002060"/>
          <w:sz w:val="24"/>
          <w:szCs w:val="24"/>
        </w:rPr>
      </w:pPr>
      <w:r w:rsidRPr="0080714F">
        <w:rPr>
          <w:i/>
          <w:iCs/>
          <w:color w:val="002060"/>
          <w:sz w:val="24"/>
          <w:szCs w:val="24"/>
        </w:rPr>
        <w:t>iv)</w:t>
      </w:r>
      <w:r w:rsidR="001405CD">
        <w:rPr>
          <w:i/>
          <w:iCs/>
          <w:color w:val="002060"/>
          <w:sz w:val="24"/>
          <w:szCs w:val="24"/>
        </w:rPr>
        <w:t xml:space="preserve"> </w:t>
      </w:r>
      <w:r w:rsidRPr="0080714F">
        <w:rPr>
          <w:i/>
          <w:iCs/>
          <w:color w:val="002060"/>
          <w:sz w:val="24"/>
          <w:szCs w:val="24"/>
        </w:rPr>
        <w:t>On the</w:t>
      </w:r>
      <w:r w:rsidR="00B95A05">
        <w:rPr>
          <w:i/>
          <w:iCs/>
          <w:color w:val="002060"/>
          <w:sz w:val="24"/>
          <w:szCs w:val="24"/>
        </w:rPr>
        <w:t xml:space="preserve"> National</w:t>
      </w:r>
      <w:r w:rsidRPr="0080714F">
        <w:rPr>
          <w:i/>
          <w:iCs/>
          <w:color w:val="002060"/>
          <w:sz w:val="24"/>
          <w:szCs w:val="24"/>
        </w:rPr>
        <w:t xml:space="preserve"> </w:t>
      </w:r>
      <w:r w:rsidRPr="0080714F" w:rsidR="0080714F">
        <w:rPr>
          <w:i/>
          <w:iCs/>
          <w:color w:val="002060"/>
          <w:sz w:val="24"/>
          <w:szCs w:val="24"/>
        </w:rPr>
        <w:t>H</w:t>
      </w:r>
      <w:r w:rsidRPr="0080714F">
        <w:rPr>
          <w:i/>
          <w:iCs/>
          <w:color w:val="002060"/>
          <w:sz w:val="24"/>
          <w:szCs w:val="24"/>
        </w:rPr>
        <w:t>ealth Service</w:t>
      </w:r>
      <w:r w:rsidR="00D03826">
        <w:rPr>
          <w:i/>
          <w:iCs/>
          <w:color w:val="002060"/>
          <w:sz w:val="24"/>
          <w:szCs w:val="24"/>
        </w:rPr>
        <w:t xml:space="preserve"> and wider society</w:t>
      </w:r>
    </w:p>
    <w:p w:rsidRPr="00477F42" w:rsidR="00AD3106" w:rsidP="003768ED" w:rsidRDefault="0049070C" w14:paraId="006AECA2" w14:textId="7FF61BEF">
      <w:pPr>
        <w:pStyle w:val="Normal0"/>
        <w:numPr>
          <w:ilvl w:val="0"/>
          <w:numId w:val="2"/>
        </w:numPr>
        <w:jc w:val="both"/>
        <w:rPr>
          <w:rFonts w:ascii="Segoe UI" w:hAnsi="Segoe UI" w:cs="Segoe UI"/>
          <w:sz w:val="22"/>
          <w:szCs w:val="22"/>
        </w:rPr>
      </w:pPr>
      <w:r w:rsidRPr="090C4359">
        <w:rPr>
          <w:rFonts w:asciiTheme="minorHAnsi" w:hAnsiTheme="minorHAnsi" w:cstheme="minorBidi"/>
          <w:sz w:val="22"/>
          <w:szCs w:val="22"/>
        </w:rPr>
        <w:t>There is little in the literature on the impact of dis</w:t>
      </w:r>
      <w:r w:rsidRPr="090C4359" w:rsidR="008A3BC8">
        <w:rPr>
          <w:rFonts w:asciiTheme="minorHAnsi" w:hAnsiTheme="minorHAnsi" w:cstheme="minorBidi"/>
          <w:sz w:val="22"/>
          <w:szCs w:val="22"/>
        </w:rPr>
        <w:t xml:space="preserve">agreements on the health service. </w:t>
      </w:r>
      <w:r w:rsidRPr="090C4359" w:rsidR="00BB7190">
        <w:rPr>
          <w:rFonts w:asciiTheme="minorHAnsi" w:hAnsiTheme="minorHAnsi" w:cstheme="minorBidi"/>
          <w:sz w:val="22"/>
          <w:szCs w:val="22"/>
        </w:rPr>
        <w:t xml:space="preserve">Sokol draws attention to the </w:t>
      </w:r>
      <w:r w:rsidRPr="090C4359" w:rsidR="00543C79">
        <w:rPr>
          <w:rFonts w:asciiTheme="minorHAnsi" w:hAnsiTheme="minorHAnsi" w:cstheme="minorBidi"/>
          <w:sz w:val="22"/>
          <w:szCs w:val="22"/>
        </w:rPr>
        <w:t>implications for practice and policy, with</w:t>
      </w:r>
      <w:r w:rsidRPr="090C4359" w:rsidR="00097F1C">
        <w:rPr>
          <w:rFonts w:asciiTheme="minorHAnsi" w:hAnsiTheme="minorHAnsi" w:cstheme="minorBidi"/>
          <w:sz w:val="22"/>
          <w:szCs w:val="22"/>
        </w:rPr>
        <w:t xml:space="preserve"> Trusts ‘</w:t>
      </w:r>
      <w:r w:rsidRPr="090C4359" w:rsidR="00543C79">
        <w:rPr>
          <w:rFonts w:asciiTheme="minorHAnsi" w:hAnsiTheme="minorHAnsi" w:cstheme="minorBidi"/>
          <w:sz w:val="22"/>
          <w:szCs w:val="22"/>
        </w:rPr>
        <w:t xml:space="preserve">treading on eggshells </w:t>
      </w:r>
      <w:r w:rsidRPr="090C4359" w:rsidR="00C13CD3">
        <w:rPr>
          <w:rFonts w:asciiTheme="minorHAnsi" w:hAnsiTheme="minorHAnsi" w:cstheme="minorBidi"/>
          <w:sz w:val="22"/>
          <w:szCs w:val="22"/>
        </w:rPr>
        <w:t xml:space="preserve">while </w:t>
      </w:r>
      <w:r w:rsidRPr="090C4359" w:rsidR="00543C79">
        <w:rPr>
          <w:rFonts w:asciiTheme="minorHAnsi" w:hAnsiTheme="minorHAnsi" w:cstheme="minorBidi"/>
          <w:sz w:val="22"/>
          <w:szCs w:val="22"/>
        </w:rPr>
        <w:t>trying to avoid offence and reputational damage</w:t>
      </w:r>
      <w:r w:rsidRPr="090C4359" w:rsidR="00097F1C">
        <w:rPr>
          <w:rFonts w:asciiTheme="minorHAnsi" w:hAnsiTheme="minorHAnsi" w:cstheme="minorBidi"/>
          <w:sz w:val="22"/>
          <w:szCs w:val="22"/>
        </w:rPr>
        <w:t>’</w:t>
      </w:r>
      <w:r w:rsidRPr="090C4359" w:rsidR="00543C79">
        <w:rPr>
          <w:rFonts w:asciiTheme="minorHAnsi" w:hAnsiTheme="minorHAnsi" w:cstheme="minorBidi"/>
          <w:sz w:val="22"/>
          <w:szCs w:val="22"/>
        </w:rPr>
        <w:t xml:space="preserve"> </w:t>
      </w:r>
      <w:r w:rsidRPr="090C4359" w:rsidR="00770C0D">
        <w:rPr>
          <w:rStyle w:val="FootnoteReference"/>
          <w:rFonts w:asciiTheme="minorHAnsi" w:hAnsiTheme="minorHAnsi" w:cstheme="minorBidi"/>
          <w:sz w:val="22"/>
          <w:szCs w:val="22"/>
        </w:rPr>
        <w:footnoteReference w:id="229"/>
      </w:r>
      <w:r w:rsidRPr="090C4359" w:rsidR="00770C0D">
        <w:rPr>
          <w:rFonts w:asciiTheme="minorHAnsi" w:hAnsiTheme="minorHAnsi" w:cstheme="minorBidi"/>
          <w:sz w:val="22"/>
          <w:szCs w:val="22"/>
        </w:rPr>
        <w:t xml:space="preserve"> </w:t>
      </w:r>
      <w:r w:rsidRPr="090C4359" w:rsidR="00097F1C">
        <w:rPr>
          <w:rFonts w:asciiTheme="minorHAnsi" w:hAnsiTheme="minorHAnsi" w:cstheme="minorBidi"/>
          <w:sz w:val="22"/>
          <w:szCs w:val="22"/>
        </w:rPr>
        <w:t>and</w:t>
      </w:r>
      <w:r w:rsidRPr="090C4359" w:rsidR="00770C0D">
        <w:rPr>
          <w:rFonts w:asciiTheme="minorHAnsi" w:hAnsiTheme="minorHAnsi" w:cstheme="minorBidi"/>
          <w:sz w:val="22"/>
          <w:szCs w:val="22"/>
        </w:rPr>
        <w:t xml:space="preserve"> Jesmont et al note that</w:t>
      </w:r>
      <w:r w:rsidRPr="090C4359" w:rsidR="00770C0D">
        <w:rPr>
          <w:rFonts w:asciiTheme="minorHAnsi" w:hAnsiTheme="minorHAnsi" w:cstheme="minorBidi"/>
        </w:rPr>
        <w:t xml:space="preserve"> </w:t>
      </w:r>
      <w:r w:rsidRPr="090C4359" w:rsidR="00770C0D">
        <w:rPr>
          <w:rFonts w:asciiTheme="minorHAnsi" w:hAnsiTheme="minorHAnsi" w:cstheme="minorBidi"/>
          <w:sz w:val="22"/>
          <w:szCs w:val="22"/>
        </w:rPr>
        <w:t>medico</w:t>
      </w:r>
      <w:r w:rsidRPr="090C4359" w:rsidR="00506C0A">
        <w:rPr>
          <w:rFonts w:asciiTheme="minorHAnsi" w:hAnsiTheme="minorHAnsi" w:cstheme="minorBidi"/>
          <w:sz w:val="22"/>
          <w:szCs w:val="22"/>
        </w:rPr>
        <w:t>-</w:t>
      </w:r>
      <w:r w:rsidRPr="090C4359" w:rsidR="00770C0D">
        <w:rPr>
          <w:rFonts w:asciiTheme="minorHAnsi" w:hAnsiTheme="minorHAnsi" w:cstheme="minorBidi"/>
          <w:sz w:val="22"/>
          <w:szCs w:val="22"/>
        </w:rPr>
        <w:t>legal involvement is an ‘ever-present risk.’</w:t>
      </w:r>
      <w:r w:rsidRPr="090C4359" w:rsidR="00770C0D">
        <w:rPr>
          <w:rStyle w:val="FootnoteReference"/>
          <w:rFonts w:asciiTheme="minorHAnsi" w:hAnsiTheme="minorHAnsi" w:cstheme="minorBidi"/>
          <w:sz w:val="22"/>
          <w:szCs w:val="22"/>
        </w:rPr>
        <w:footnoteReference w:id="230"/>
      </w:r>
      <w:r w:rsidRPr="090C4359" w:rsidR="00C769BE">
        <w:rPr>
          <w:rFonts w:asciiTheme="minorHAnsi" w:hAnsiTheme="minorHAnsi" w:cstheme="minorBidi"/>
          <w:sz w:val="22"/>
          <w:szCs w:val="22"/>
        </w:rPr>
        <w:t xml:space="preserve"> Additionally, Sokol </w:t>
      </w:r>
      <w:r w:rsidRPr="090C4359" w:rsidR="009101CA">
        <w:rPr>
          <w:rFonts w:asciiTheme="minorHAnsi" w:hAnsiTheme="minorHAnsi" w:cstheme="minorBidi"/>
          <w:sz w:val="22"/>
          <w:szCs w:val="22"/>
        </w:rPr>
        <w:t>surmises that the</w:t>
      </w:r>
      <w:r w:rsidRPr="090C4359" w:rsidR="00097F1C">
        <w:rPr>
          <w:rFonts w:asciiTheme="minorHAnsi" w:hAnsiTheme="minorHAnsi" w:cstheme="minorBidi"/>
          <w:sz w:val="22"/>
          <w:szCs w:val="22"/>
        </w:rPr>
        <w:t xml:space="preserve"> dread of possible future litigation </w:t>
      </w:r>
      <w:r w:rsidRPr="090C4359" w:rsidR="00987687">
        <w:rPr>
          <w:rFonts w:asciiTheme="minorHAnsi" w:hAnsiTheme="minorHAnsi" w:cstheme="minorBidi"/>
          <w:sz w:val="22"/>
          <w:szCs w:val="22"/>
        </w:rPr>
        <w:t xml:space="preserve">might cause </w:t>
      </w:r>
      <w:r w:rsidRPr="090C4359" w:rsidR="00352274">
        <w:rPr>
          <w:rFonts w:asciiTheme="minorHAnsi" w:hAnsiTheme="minorHAnsi" w:cstheme="minorBidi"/>
          <w:sz w:val="22"/>
          <w:szCs w:val="22"/>
        </w:rPr>
        <w:t xml:space="preserve">Trusts to make a ‘tactical decision’ to accede to </w:t>
      </w:r>
      <w:r w:rsidRPr="090C4359" w:rsidR="009101CA">
        <w:rPr>
          <w:rFonts w:asciiTheme="minorHAnsi" w:hAnsiTheme="minorHAnsi" w:cstheme="minorBidi"/>
          <w:sz w:val="22"/>
          <w:szCs w:val="22"/>
        </w:rPr>
        <w:t xml:space="preserve">the views of the family, even when harmful, rather than risk another legal battle. </w:t>
      </w:r>
      <w:r w:rsidRPr="090C4359" w:rsidR="009101CA">
        <w:rPr>
          <w:rStyle w:val="FootnoteReference"/>
          <w:rFonts w:asciiTheme="minorHAnsi" w:hAnsiTheme="minorHAnsi" w:cstheme="minorBidi"/>
          <w:sz w:val="22"/>
          <w:szCs w:val="22"/>
        </w:rPr>
        <w:footnoteReference w:id="231"/>
      </w:r>
      <w:r w:rsidRPr="090C4359" w:rsidR="00355690">
        <w:rPr>
          <w:rFonts w:asciiTheme="minorHAnsi" w:hAnsiTheme="minorHAnsi" w:cstheme="minorBidi"/>
          <w:sz w:val="22"/>
          <w:szCs w:val="22"/>
        </w:rPr>
        <w:t xml:space="preserve"> Mir</w:t>
      </w:r>
      <w:r w:rsidRPr="090C4359" w:rsidR="00B759D8">
        <w:rPr>
          <w:rFonts w:asciiTheme="minorHAnsi" w:hAnsiTheme="minorHAnsi" w:cstheme="minorBidi"/>
          <w:sz w:val="22"/>
          <w:szCs w:val="22"/>
        </w:rPr>
        <w:t xml:space="preserve"> con</w:t>
      </w:r>
      <w:r w:rsidRPr="090C4359" w:rsidR="00436316">
        <w:rPr>
          <w:rFonts w:asciiTheme="minorHAnsi" w:hAnsiTheme="minorHAnsi" w:cstheme="minorBidi"/>
          <w:sz w:val="22"/>
          <w:szCs w:val="22"/>
        </w:rPr>
        <w:t>curs, noting that</w:t>
      </w:r>
      <w:r w:rsidRPr="090C4359" w:rsidR="00355690">
        <w:rPr>
          <w:rFonts w:asciiTheme="minorHAnsi" w:hAnsiTheme="minorHAnsi" w:cstheme="minorBidi"/>
          <w:sz w:val="22"/>
          <w:szCs w:val="22"/>
        </w:rPr>
        <w:t xml:space="preserve"> ‘</w:t>
      </w:r>
      <w:r w:rsidRPr="090C4359" w:rsidR="00436316">
        <w:rPr>
          <w:rFonts w:asciiTheme="minorHAnsi" w:hAnsiTheme="minorHAnsi" w:cstheme="minorBidi"/>
          <w:sz w:val="22"/>
          <w:szCs w:val="22"/>
        </w:rPr>
        <w:t>[m]</w:t>
      </w:r>
      <w:r w:rsidRPr="090C4359" w:rsidR="00355690">
        <w:rPr>
          <w:rFonts w:asciiTheme="minorHAnsi" w:hAnsiTheme="minorHAnsi" w:cstheme="minorBidi"/>
          <w:sz w:val="22"/>
          <w:szCs w:val="22"/>
        </w:rPr>
        <w:t>any doctors would admit that they occasionally over-treat or over investigate patients to avoid a complaint or patient dissatisfaction.</w:t>
      </w:r>
      <w:r w:rsidRPr="090C4359" w:rsidR="00355690">
        <w:rPr>
          <w:rStyle w:val="FootnoteReference"/>
          <w:rFonts w:asciiTheme="minorHAnsi" w:hAnsiTheme="minorHAnsi" w:cstheme="minorBidi"/>
          <w:sz w:val="22"/>
          <w:szCs w:val="22"/>
        </w:rPr>
        <w:footnoteReference w:id="232"/>
      </w:r>
      <w:r w:rsidRPr="090C4359" w:rsidR="005B5DDF">
        <w:rPr>
          <w:rFonts w:asciiTheme="minorHAnsi" w:hAnsiTheme="minorHAnsi" w:cstheme="minorBidi"/>
          <w:sz w:val="22"/>
          <w:szCs w:val="22"/>
        </w:rPr>
        <w:t xml:space="preserve"> </w:t>
      </w:r>
    </w:p>
    <w:p w:rsidRPr="00477F42" w:rsidR="00604AE6" w:rsidP="00604AE6" w:rsidRDefault="00604AE6" w14:paraId="0A0EB639" w14:textId="77777777">
      <w:pPr>
        <w:pStyle w:val="Normal0"/>
        <w:ind w:left="720"/>
        <w:rPr>
          <w:rFonts w:ascii="Segoe UI" w:hAnsi="Segoe UI" w:cs="Segoe UI"/>
          <w:sz w:val="22"/>
          <w:szCs w:val="22"/>
        </w:rPr>
      </w:pPr>
    </w:p>
    <w:p w:rsidRPr="00477F42" w:rsidR="009B13D3" w:rsidP="003768ED" w:rsidRDefault="00702A5B" w14:paraId="4C1D9DD7" w14:textId="0AC4CFAB">
      <w:pPr>
        <w:pStyle w:val="Normal0"/>
        <w:numPr>
          <w:ilvl w:val="0"/>
          <w:numId w:val="2"/>
        </w:numPr>
        <w:jc w:val="both"/>
        <w:rPr>
          <w:rFonts w:ascii="Segoe UI" w:hAnsi="Segoe UI" w:cs="Segoe UI"/>
          <w:sz w:val="22"/>
          <w:szCs w:val="22"/>
        </w:rPr>
      </w:pPr>
      <w:r w:rsidRPr="090C4359">
        <w:rPr>
          <w:rFonts w:asciiTheme="minorHAnsi" w:hAnsiTheme="minorHAnsi" w:cstheme="minorBidi"/>
          <w:sz w:val="22"/>
          <w:szCs w:val="22"/>
        </w:rPr>
        <w:t xml:space="preserve">Some commentators </w:t>
      </w:r>
      <w:r w:rsidRPr="090C4359" w:rsidR="00346CF0">
        <w:rPr>
          <w:rFonts w:asciiTheme="minorHAnsi" w:hAnsiTheme="minorHAnsi" w:cstheme="minorBidi"/>
          <w:sz w:val="22"/>
          <w:szCs w:val="22"/>
        </w:rPr>
        <w:t>reflect on the financial implications</w:t>
      </w:r>
      <w:r w:rsidRPr="090C4359" w:rsidR="00A7522B">
        <w:rPr>
          <w:rFonts w:asciiTheme="minorHAnsi" w:hAnsiTheme="minorHAnsi" w:cstheme="minorBidi"/>
          <w:sz w:val="22"/>
          <w:szCs w:val="22"/>
        </w:rPr>
        <w:t>,</w:t>
      </w:r>
      <w:r w:rsidRPr="090C4359" w:rsidR="00A10DE6">
        <w:rPr>
          <w:rFonts w:asciiTheme="minorHAnsi" w:hAnsiTheme="minorHAnsi" w:cstheme="minorBidi"/>
          <w:sz w:val="22"/>
          <w:szCs w:val="22"/>
        </w:rPr>
        <w:t xml:space="preserve"> </w:t>
      </w:r>
      <w:r w:rsidRPr="090C4359" w:rsidR="00242F95">
        <w:rPr>
          <w:rFonts w:asciiTheme="minorHAnsi" w:hAnsiTheme="minorHAnsi" w:cstheme="minorBidi"/>
          <w:sz w:val="22"/>
          <w:szCs w:val="22"/>
        </w:rPr>
        <w:t xml:space="preserve">such as Sokol’s claim that in the </w:t>
      </w:r>
      <w:r w:rsidRPr="090C4359" w:rsidR="00242F95">
        <w:rPr>
          <w:rFonts w:asciiTheme="minorHAnsi" w:hAnsiTheme="minorHAnsi" w:cstheme="minorBidi"/>
          <w:i/>
          <w:iCs/>
          <w:sz w:val="22"/>
          <w:szCs w:val="22"/>
        </w:rPr>
        <w:t>Battersbee</w:t>
      </w:r>
      <w:r w:rsidRPr="090C4359" w:rsidR="00242F95">
        <w:rPr>
          <w:rFonts w:asciiTheme="minorHAnsi" w:hAnsiTheme="minorHAnsi" w:cstheme="minorBidi"/>
          <w:sz w:val="22"/>
          <w:szCs w:val="22"/>
        </w:rPr>
        <w:t xml:space="preserve"> case ‘[t</w:t>
      </w:r>
      <w:r w:rsidRPr="090C4359" w:rsidR="00604AE6">
        <w:rPr>
          <w:rFonts w:asciiTheme="minorHAnsi" w:hAnsiTheme="minorHAnsi" w:cstheme="minorBidi"/>
          <w:sz w:val="22"/>
          <w:szCs w:val="22"/>
        </w:rPr>
        <w:t>]</w:t>
      </w:r>
      <w:r w:rsidRPr="090C4359" w:rsidR="00242F95">
        <w:rPr>
          <w:rFonts w:asciiTheme="minorHAnsi" w:hAnsiTheme="minorHAnsi" w:cstheme="minorBidi"/>
          <w:sz w:val="22"/>
          <w:szCs w:val="22"/>
        </w:rPr>
        <w:t>he legal costs alone must have reached hundreds of thousands of</w:t>
      </w:r>
      <w:r w:rsidRPr="090C4359" w:rsidR="00604AE6">
        <w:rPr>
          <w:rFonts w:asciiTheme="minorHAnsi" w:hAnsiTheme="minorHAnsi" w:cstheme="minorBidi"/>
          <w:sz w:val="22"/>
          <w:szCs w:val="22"/>
        </w:rPr>
        <w:t xml:space="preserve"> </w:t>
      </w:r>
      <w:r w:rsidRPr="090C4359" w:rsidR="00242F95">
        <w:rPr>
          <w:rFonts w:asciiTheme="minorHAnsi" w:hAnsiTheme="minorHAnsi" w:cstheme="minorBidi"/>
          <w:sz w:val="22"/>
          <w:szCs w:val="22"/>
        </w:rPr>
        <w:t>pounds. The increased levels of</w:t>
      </w:r>
      <w:r w:rsidRPr="090C4359" w:rsidR="00604AE6">
        <w:rPr>
          <w:rFonts w:asciiTheme="minorHAnsi" w:hAnsiTheme="minorHAnsi" w:cstheme="minorBidi"/>
          <w:sz w:val="22"/>
          <w:szCs w:val="22"/>
        </w:rPr>
        <w:t xml:space="preserve"> </w:t>
      </w:r>
      <w:r w:rsidRPr="090C4359" w:rsidR="00242F95">
        <w:rPr>
          <w:rFonts w:asciiTheme="minorHAnsi" w:hAnsiTheme="minorHAnsi" w:cstheme="minorBidi"/>
          <w:sz w:val="22"/>
          <w:szCs w:val="22"/>
        </w:rPr>
        <w:t>security have added to the bill: at one point there were reportedly eight security guards around Archie’s room</w:t>
      </w:r>
      <w:r w:rsidRPr="090C4359" w:rsidR="00604AE6">
        <w:rPr>
          <w:rFonts w:asciiTheme="minorHAnsi" w:hAnsiTheme="minorHAnsi" w:cstheme="minorBidi"/>
          <w:sz w:val="22"/>
          <w:szCs w:val="22"/>
        </w:rPr>
        <w:t>’.</w:t>
      </w:r>
      <w:r w:rsidRPr="090C4359" w:rsidR="00604AE6">
        <w:rPr>
          <w:rStyle w:val="FootnoteReference"/>
          <w:rFonts w:asciiTheme="minorHAnsi" w:hAnsiTheme="minorHAnsi" w:cstheme="minorBidi"/>
          <w:sz w:val="22"/>
          <w:szCs w:val="22"/>
        </w:rPr>
        <w:footnoteReference w:id="233"/>
      </w:r>
      <w:r w:rsidRPr="090C4359" w:rsidR="00604AE6">
        <w:rPr>
          <w:rFonts w:asciiTheme="minorHAnsi" w:hAnsiTheme="minorHAnsi" w:cstheme="minorBidi"/>
          <w:sz w:val="22"/>
          <w:szCs w:val="22"/>
        </w:rPr>
        <w:t xml:space="preserve"> </w:t>
      </w:r>
      <w:r w:rsidRPr="090C4359" w:rsidR="00A7522B">
        <w:rPr>
          <w:rFonts w:asciiTheme="minorHAnsi" w:hAnsiTheme="minorHAnsi" w:cstheme="minorBidi"/>
          <w:sz w:val="22"/>
          <w:szCs w:val="22"/>
        </w:rPr>
        <w:t>Forbat</w:t>
      </w:r>
      <w:r w:rsidRPr="090C4359" w:rsidR="00654F06">
        <w:rPr>
          <w:rFonts w:asciiTheme="minorHAnsi" w:hAnsiTheme="minorHAnsi" w:cstheme="minorBidi"/>
          <w:sz w:val="22"/>
          <w:szCs w:val="22"/>
        </w:rPr>
        <w:t xml:space="preserve"> consider</w:t>
      </w:r>
      <w:r w:rsidRPr="090C4359" w:rsidR="0088379F">
        <w:rPr>
          <w:rFonts w:asciiTheme="minorHAnsi" w:hAnsiTheme="minorHAnsi" w:cstheme="minorBidi"/>
          <w:sz w:val="22"/>
          <w:szCs w:val="22"/>
        </w:rPr>
        <w:t>s</w:t>
      </w:r>
      <w:r w:rsidRPr="090C4359" w:rsidR="00654F06">
        <w:rPr>
          <w:rFonts w:asciiTheme="minorHAnsi" w:hAnsiTheme="minorHAnsi" w:cstheme="minorBidi"/>
          <w:sz w:val="22"/>
          <w:szCs w:val="22"/>
        </w:rPr>
        <w:t xml:space="preserve"> the staffing implications of disagreement, noting </w:t>
      </w:r>
      <w:r w:rsidRPr="090C4359" w:rsidR="0088379F">
        <w:rPr>
          <w:rFonts w:asciiTheme="minorHAnsi" w:hAnsiTheme="minorHAnsi" w:cstheme="minorBidi"/>
          <w:sz w:val="22"/>
          <w:szCs w:val="22"/>
        </w:rPr>
        <w:t xml:space="preserve"> that </w:t>
      </w:r>
      <w:r w:rsidRPr="090C4359" w:rsidR="00223F17">
        <w:rPr>
          <w:rFonts w:asciiTheme="minorHAnsi" w:hAnsiTheme="minorHAnsi" w:cstheme="minorBidi"/>
          <w:sz w:val="22"/>
          <w:szCs w:val="22"/>
          <w:shd w:val="clear" w:color="auto" w:fill="FFFFFF"/>
        </w:rPr>
        <w:t>‘</w:t>
      </w:r>
      <w:r w:rsidRPr="090C4359" w:rsidR="0088379F">
        <w:rPr>
          <w:rFonts w:asciiTheme="minorHAnsi" w:hAnsiTheme="minorHAnsi" w:cstheme="minorBidi"/>
          <w:sz w:val="22"/>
          <w:szCs w:val="22"/>
          <w:shd w:val="clear" w:color="auto" w:fill="FFFFFF"/>
        </w:rPr>
        <w:t>[i]</w:t>
      </w:r>
      <w:r w:rsidRPr="090C4359" w:rsidR="00476B29">
        <w:rPr>
          <w:rFonts w:asciiTheme="minorHAnsi" w:hAnsiTheme="minorHAnsi" w:cstheme="minorBidi"/>
          <w:sz w:val="22"/>
          <w:szCs w:val="22"/>
          <w:shd w:val="clear" w:color="auto" w:fill="FFFFFF"/>
        </w:rPr>
        <w:t>n one study it was estimated that </w:t>
      </w:r>
      <w:hyperlink w:history="1" r:id="rId11">
        <w:r w:rsidRPr="090C4359" w:rsidR="00476B29">
          <w:rPr>
            <w:rStyle w:val="Hyperlink"/>
            <w:rFonts w:asciiTheme="minorHAnsi" w:hAnsiTheme="minorHAnsi" w:cstheme="minorBidi"/>
            <w:color w:val="auto"/>
            <w:sz w:val="22"/>
            <w:szCs w:val="22"/>
            <w:u w:val="none"/>
            <w:shd w:val="clear" w:color="auto" w:fill="FFFFFF"/>
          </w:rPr>
          <w:t>448 hours of staff time was used in managing conflict</w:t>
        </w:r>
      </w:hyperlink>
      <w:r w:rsidRPr="090C4359" w:rsidR="00476B29">
        <w:rPr>
          <w:rFonts w:asciiTheme="minorHAnsi" w:hAnsiTheme="minorHAnsi" w:cstheme="minorBidi"/>
          <w:sz w:val="22"/>
          <w:szCs w:val="22"/>
          <w:shd w:val="clear" w:color="auto" w:fill="FFFFFF"/>
        </w:rPr>
        <w:t> in one children’s hospital over a period of 24 weeks</w:t>
      </w:r>
      <w:r w:rsidRPr="090C4359" w:rsidR="0088379F">
        <w:rPr>
          <w:rFonts w:asciiTheme="minorHAnsi" w:hAnsiTheme="minorHAnsi" w:cstheme="minorBidi"/>
          <w:sz w:val="22"/>
          <w:szCs w:val="22"/>
          <w:shd w:val="clear" w:color="auto" w:fill="FFFFFF"/>
        </w:rPr>
        <w:t xml:space="preserve"> (…).</w:t>
      </w:r>
      <w:r w:rsidRPr="090C4359" w:rsidR="007A5DF6">
        <w:rPr>
          <w:rStyle w:val="FootnoteReference"/>
          <w:rFonts w:asciiTheme="minorHAnsi" w:hAnsiTheme="minorHAnsi" w:cstheme="minorBidi"/>
          <w:sz w:val="22"/>
          <w:szCs w:val="22"/>
          <w:shd w:val="clear" w:color="auto" w:fill="FFFFFF"/>
        </w:rPr>
        <w:footnoteReference w:id="234"/>
      </w:r>
      <w:r w:rsidRPr="090C4359" w:rsidR="005B5DDF">
        <w:rPr>
          <w:rFonts w:cstheme="minorBidi"/>
          <w:sz w:val="22"/>
          <w:szCs w:val="22"/>
          <w:shd w:val="clear" w:color="auto" w:fill="FFFFFF"/>
        </w:rPr>
        <w:t xml:space="preserve"> </w:t>
      </w:r>
    </w:p>
    <w:p w:rsidRPr="00477F42" w:rsidR="00E5190E" w:rsidP="00E5190E" w:rsidRDefault="00E5190E" w14:paraId="6053B512" w14:textId="77777777">
      <w:pPr>
        <w:pStyle w:val="ListParagraph"/>
        <w:rPr>
          <w:rFonts w:ascii="Segoe UI" w:hAnsi="Segoe UI" w:cs="Segoe UI"/>
        </w:rPr>
      </w:pPr>
    </w:p>
    <w:p w:rsidRPr="00477F42" w:rsidR="00BE251A" w:rsidP="003768ED" w:rsidRDefault="00820336" w14:paraId="2F8303F8" w14:textId="0CB30183">
      <w:pPr>
        <w:pStyle w:val="Normal0"/>
        <w:numPr>
          <w:ilvl w:val="0"/>
          <w:numId w:val="2"/>
        </w:numPr>
        <w:jc w:val="both"/>
        <w:rPr>
          <w:rFonts w:asciiTheme="minorHAnsi" w:hAnsiTheme="minorHAnsi" w:cstheme="minorHAnsi"/>
          <w:sz w:val="22"/>
          <w:szCs w:val="22"/>
        </w:rPr>
      </w:pPr>
      <w:r w:rsidRPr="090C4359">
        <w:rPr>
          <w:rFonts w:asciiTheme="minorHAnsi" w:hAnsiTheme="minorHAnsi" w:cstheme="minorBidi"/>
          <w:sz w:val="22"/>
          <w:szCs w:val="22"/>
        </w:rPr>
        <w:t>Brief mention is made by</w:t>
      </w:r>
      <w:r w:rsidRPr="090C4359" w:rsidR="00E172F1">
        <w:rPr>
          <w:rFonts w:asciiTheme="minorHAnsi" w:hAnsiTheme="minorHAnsi" w:cstheme="minorBidi"/>
          <w:sz w:val="22"/>
          <w:szCs w:val="22"/>
        </w:rPr>
        <w:t xml:space="preserve"> Auckland and Goold</w:t>
      </w:r>
      <w:r w:rsidRPr="090C4359" w:rsidR="00594A90">
        <w:rPr>
          <w:rFonts w:asciiTheme="minorHAnsi" w:hAnsiTheme="minorHAnsi" w:cstheme="minorBidi"/>
          <w:sz w:val="22"/>
          <w:szCs w:val="22"/>
        </w:rPr>
        <w:t xml:space="preserve"> of the public debate ignited by the high-profile cases,</w:t>
      </w:r>
      <w:r w:rsidRPr="090C4359" w:rsidR="00F94084">
        <w:rPr>
          <w:rFonts w:asciiTheme="minorHAnsi" w:hAnsiTheme="minorHAnsi" w:cstheme="minorBidi"/>
          <w:sz w:val="22"/>
          <w:szCs w:val="22"/>
        </w:rPr>
        <w:t xml:space="preserve"> which they claim has done more than just</w:t>
      </w:r>
      <w:r w:rsidRPr="090C4359" w:rsidR="00E5190E">
        <w:rPr>
          <w:rFonts w:asciiTheme="minorHAnsi" w:hAnsiTheme="minorHAnsi" w:cstheme="minorBidi"/>
          <w:sz w:val="22"/>
          <w:szCs w:val="22"/>
        </w:rPr>
        <w:t xml:space="preserve"> </w:t>
      </w:r>
      <w:r w:rsidRPr="090C4359" w:rsidR="00E46816">
        <w:rPr>
          <w:rFonts w:asciiTheme="minorHAnsi" w:hAnsiTheme="minorHAnsi" w:cstheme="minorBidi"/>
          <w:sz w:val="22"/>
          <w:szCs w:val="22"/>
        </w:rPr>
        <w:t>‘</w:t>
      </w:r>
      <w:r w:rsidRPr="090C4359" w:rsidR="00E5190E">
        <w:rPr>
          <w:rFonts w:asciiTheme="minorHAnsi" w:hAnsiTheme="minorHAnsi" w:cstheme="minorBidi"/>
          <w:sz w:val="22"/>
          <w:szCs w:val="22"/>
        </w:rPr>
        <w:t>stir up public sentiment</w:t>
      </w:r>
      <w:r w:rsidRPr="090C4359" w:rsidR="00E46816">
        <w:rPr>
          <w:rFonts w:asciiTheme="minorHAnsi" w:hAnsiTheme="minorHAnsi" w:cstheme="minorBidi"/>
          <w:sz w:val="22"/>
          <w:szCs w:val="22"/>
        </w:rPr>
        <w:t xml:space="preserve">’ but has </w:t>
      </w:r>
      <w:r w:rsidRPr="090C4359" w:rsidR="00E07B03">
        <w:rPr>
          <w:rFonts w:asciiTheme="minorHAnsi" w:hAnsiTheme="minorHAnsi" w:cstheme="minorBidi"/>
          <w:sz w:val="22"/>
          <w:szCs w:val="22"/>
        </w:rPr>
        <w:t>also revealed ‘not</w:t>
      </w:r>
      <w:r w:rsidRPr="090C4359" w:rsidR="00E5190E">
        <w:rPr>
          <w:rFonts w:asciiTheme="minorHAnsi" w:hAnsiTheme="minorHAnsi" w:cstheme="minorBidi"/>
          <w:sz w:val="22"/>
          <w:szCs w:val="22"/>
        </w:rPr>
        <w:t xml:space="preserve"> hitherto apparent powers</w:t>
      </w:r>
      <w:r w:rsidRPr="090C4359" w:rsidR="00E07B03">
        <w:rPr>
          <w:rFonts w:asciiTheme="minorHAnsi" w:hAnsiTheme="minorHAnsi" w:cstheme="minorBidi"/>
          <w:sz w:val="22"/>
          <w:szCs w:val="22"/>
        </w:rPr>
        <w:t>’ of the courts.</w:t>
      </w:r>
      <w:r w:rsidRPr="090C4359" w:rsidR="00E07B03">
        <w:rPr>
          <w:rStyle w:val="FootnoteReference"/>
          <w:rFonts w:asciiTheme="minorHAnsi" w:hAnsiTheme="minorHAnsi" w:cstheme="minorBidi"/>
          <w:sz w:val="22"/>
          <w:szCs w:val="22"/>
        </w:rPr>
        <w:footnoteReference w:id="235"/>
      </w:r>
      <w:r w:rsidRPr="090C4359" w:rsidR="00E5190E">
        <w:rPr>
          <w:rFonts w:asciiTheme="minorHAnsi" w:hAnsiTheme="minorHAnsi" w:cstheme="minorBidi"/>
          <w:sz w:val="22"/>
          <w:szCs w:val="22"/>
        </w:rPr>
        <w:t xml:space="preserve"> </w:t>
      </w:r>
      <w:r w:rsidRPr="090C4359" w:rsidR="00FF7FBE">
        <w:rPr>
          <w:rFonts w:asciiTheme="minorHAnsi" w:hAnsiTheme="minorHAnsi" w:cstheme="minorBidi"/>
          <w:sz w:val="22"/>
          <w:szCs w:val="22"/>
        </w:rPr>
        <w:t xml:space="preserve"> </w:t>
      </w:r>
      <w:r w:rsidRPr="090C4359" w:rsidR="00C67B1E">
        <w:rPr>
          <w:rFonts w:asciiTheme="minorHAnsi" w:hAnsiTheme="minorHAnsi" w:cstheme="minorBidi"/>
          <w:sz w:val="22"/>
          <w:szCs w:val="22"/>
        </w:rPr>
        <w:t>Das</w:t>
      </w:r>
      <w:r w:rsidRPr="090C4359" w:rsidR="00D837DD">
        <w:rPr>
          <w:rFonts w:asciiTheme="minorHAnsi" w:hAnsiTheme="minorHAnsi" w:cstheme="minorBidi"/>
          <w:sz w:val="22"/>
          <w:szCs w:val="22"/>
        </w:rPr>
        <w:t xml:space="preserve">’ </w:t>
      </w:r>
      <w:r w:rsidRPr="090C4359" w:rsidR="002401AC">
        <w:rPr>
          <w:rFonts w:asciiTheme="minorHAnsi" w:hAnsiTheme="minorHAnsi" w:cstheme="minorBidi"/>
          <w:sz w:val="22"/>
          <w:szCs w:val="22"/>
        </w:rPr>
        <w:t xml:space="preserve">analysis of the populist discourse of “Charlie’s Army” in connection with the </w:t>
      </w:r>
      <w:r w:rsidRPr="090C4359" w:rsidR="002401AC">
        <w:rPr>
          <w:rFonts w:asciiTheme="minorHAnsi" w:hAnsiTheme="minorHAnsi" w:cstheme="minorBidi"/>
          <w:i/>
          <w:iCs/>
          <w:sz w:val="22"/>
          <w:szCs w:val="22"/>
        </w:rPr>
        <w:t>Gard</w:t>
      </w:r>
      <w:r w:rsidRPr="090C4359" w:rsidR="002401AC">
        <w:rPr>
          <w:rFonts w:asciiTheme="minorHAnsi" w:hAnsiTheme="minorHAnsi" w:cstheme="minorBidi"/>
          <w:sz w:val="22"/>
          <w:szCs w:val="22"/>
        </w:rPr>
        <w:t xml:space="preserve"> case,</w:t>
      </w:r>
      <w:r w:rsidRPr="090C4359" w:rsidR="00C67B1E">
        <w:rPr>
          <w:rFonts w:asciiTheme="minorHAnsi" w:hAnsiTheme="minorHAnsi" w:cstheme="minorBidi"/>
          <w:sz w:val="22"/>
          <w:szCs w:val="22"/>
        </w:rPr>
        <w:t xml:space="preserve"> </w:t>
      </w:r>
      <w:r w:rsidRPr="090C4359" w:rsidR="00CF1038">
        <w:rPr>
          <w:rFonts w:asciiTheme="minorHAnsi" w:hAnsiTheme="minorHAnsi" w:cstheme="minorBidi"/>
          <w:sz w:val="22"/>
          <w:szCs w:val="22"/>
        </w:rPr>
        <w:t xml:space="preserve">sheds light on the societal impact of social media involvement in these disagreements, </w:t>
      </w:r>
      <w:r w:rsidRPr="090C4359" w:rsidR="00EF3E1E">
        <w:rPr>
          <w:rFonts w:asciiTheme="minorHAnsi" w:hAnsiTheme="minorHAnsi" w:cstheme="minorBidi"/>
          <w:sz w:val="22"/>
          <w:szCs w:val="22"/>
        </w:rPr>
        <w:t>and</w:t>
      </w:r>
      <w:r w:rsidRPr="090C4359" w:rsidR="00C23023">
        <w:rPr>
          <w:rFonts w:asciiTheme="minorHAnsi" w:hAnsiTheme="minorHAnsi" w:cstheme="minorBidi"/>
          <w:sz w:val="22"/>
          <w:szCs w:val="22"/>
        </w:rPr>
        <w:t xml:space="preserve"> the</w:t>
      </w:r>
      <w:r w:rsidRPr="090C4359" w:rsidR="00EF3E1E">
        <w:rPr>
          <w:rFonts w:asciiTheme="minorHAnsi" w:hAnsiTheme="minorHAnsi" w:cstheme="minorBidi"/>
          <w:sz w:val="22"/>
          <w:szCs w:val="22"/>
        </w:rPr>
        <w:t xml:space="preserve"> resulting </w:t>
      </w:r>
      <w:r w:rsidRPr="090C4359" w:rsidR="00BA56BB">
        <w:rPr>
          <w:rFonts w:asciiTheme="minorHAnsi" w:hAnsiTheme="minorHAnsi" w:cstheme="minorBidi"/>
          <w:sz w:val="22"/>
          <w:szCs w:val="22"/>
        </w:rPr>
        <w:t>‘</w:t>
      </w:r>
      <w:r w:rsidRPr="090C4359" w:rsidR="00CF1038">
        <w:rPr>
          <w:rFonts w:asciiTheme="minorHAnsi" w:hAnsiTheme="minorHAnsi" w:cstheme="minorBidi"/>
          <w:sz w:val="22"/>
          <w:szCs w:val="22"/>
        </w:rPr>
        <w:t>public perceptions and expectations of healthcare systems and professionals</w:t>
      </w:r>
      <w:r w:rsidRPr="090C4359" w:rsidR="00BA56BB">
        <w:rPr>
          <w:rFonts w:asciiTheme="minorHAnsi" w:hAnsiTheme="minorHAnsi" w:cstheme="minorBidi"/>
          <w:sz w:val="22"/>
          <w:szCs w:val="22"/>
        </w:rPr>
        <w:t>’.</w:t>
      </w:r>
      <w:r w:rsidRPr="090C4359" w:rsidR="00BA56BB">
        <w:rPr>
          <w:rStyle w:val="FootnoteReference"/>
          <w:rFonts w:asciiTheme="minorHAnsi" w:hAnsiTheme="minorHAnsi" w:cstheme="minorBidi"/>
          <w:sz w:val="22"/>
          <w:szCs w:val="22"/>
        </w:rPr>
        <w:footnoteReference w:id="236"/>
      </w:r>
      <w:r w:rsidRPr="090C4359" w:rsidR="00BE251A">
        <w:rPr>
          <w:rFonts w:asciiTheme="minorHAnsi" w:hAnsiTheme="minorHAnsi" w:cstheme="minorBidi"/>
          <w:sz w:val="22"/>
          <w:szCs w:val="22"/>
        </w:rPr>
        <w:t xml:space="preserve"> She also connects this to impacts on the NHS</w:t>
      </w:r>
      <w:r w:rsidRPr="090C4359" w:rsidR="00540BC8">
        <w:rPr>
          <w:rFonts w:asciiTheme="minorHAnsi" w:hAnsiTheme="minorHAnsi" w:cstheme="minorBidi"/>
          <w:sz w:val="22"/>
          <w:szCs w:val="22"/>
        </w:rPr>
        <w:t>, observing that ‘[u]</w:t>
      </w:r>
      <w:r w:rsidRPr="090C4359" w:rsidR="00BE251A">
        <w:rPr>
          <w:rFonts w:asciiTheme="minorHAnsi" w:hAnsiTheme="minorHAnsi" w:cstheme="minorBidi"/>
          <w:sz w:val="22"/>
          <w:szCs w:val="22"/>
        </w:rPr>
        <w:t>nderlying populist rhetoric in the UK, is an ongoing climate of critical opinion against the public services including the National Health Service.</w:t>
      </w:r>
      <w:r w:rsidRPr="090C4359" w:rsidR="00540BC8">
        <w:rPr>
          <w:rFonts w:asciiTheme="minorHAnsi" w:hAnsiTheme="minorHAnsi" w:cstheme="minorBidi"/>
          <w:sz w:val="22"/>
          <w:szCs w:val="22"/>
        </w:rPr>
        <w:t>’</w:t>
      </w:r>
      <w:r w:rsidRPr="090C4359" w:rsidR="00540BC8">
        <w:rPr>
          <w:rStyle w:val="FootnoteReference"/>
          <w:rFonts w:asciiTheme="minorHAnsi" w:hAnsiTheme="minorHAnsi" w:cstheme="minorBidi"/>
          <w:sz w:val="22"/>
          <w:szCs w:val="22"/>
        </w:rPr>
        <w:footnoteReference w:id="237"/>
      </w:r>
    </w:p>
    <w:p w:rsidR="00BE251A" w:rsidP="00BE251A" w:rsidRDefault="00BE251A" w14:paraId="503C0AE6" w14:textId="77777777">
      <w:pPr>
        <w:pStyle w:val="Normal0"/>
        <w:rPr>
          <w:rFonts w:ascii="Segoe UI" w:hAnsi="Segoe UI" w:cs="Segoe UI"/>
          <w:sz w:val="20"/>
          <w:szCs w:val="20"/>
        </w:rPr>
      </w:pPr>
    </w:p>
    <w:p w:rsidRPr="007B3F91" w:rsidR="00455FD2" w:rsidP="00477F42" w:rsidRDefault="00D91FB3" w14:paraId="692DD342" w14:textId="2C340C92">
      <w:pPr>
        <w:tabs>
          <w:tab w:val="left" w:pos="2880"/>
        </w:tabs>
        <w:jc w:val="both"/>
        <w:rPr>
          <w:i/>
          <w:iCs/>
          <w:color w:val="002060"/>
          <w:sz w:val="24"/>
          <w:szCs w:val="24"/>
        </w:rPr>
      </w:pPr>
      <w:r w:rsidRPr="007B3F91">
        <w:rPr>
          <w:i/>
          <w:iCs/>
          <w:color w:val="002060"/>
          <w:sz w:val="24"/>
          <w:szCs w:val="24"/>
        </w:rPr>
        <w:t>Summary</w:t>
      </w:r>
    </w:p>
    <w:p w:rsidRPr="00763E94" w:rsidR="00B95A05" w:rsidP="002F611D" w:rsidRDefault="005A6FB6" w14:paraId="130E5B24" w14:textId="537B1837">
      <w:pPr>
        <w:pStyle w:val="ListParagraph"/>
        <w:numPr>
          <w:ilvl w:val="0"/>
          <w:numId w:val="2"/>
        </w:numPr>
        <w:jc w:val="both"/>
      </w:pPr>
      <w:r>
        <w:t>In summary</w:t>
      </w:r>
      <w:r w:rsidR="000623CD">
        <w:t>, the effect of disagreement on healthcare professionals is the overwhelming focus of the literature, with moral distress,</w:t>
      </w:r>
      <w:r w:rsidR="006074E0">
        <w:t xml:space="preserve"> compassion fatigue,</w:t>
      </w:r>
      <w:r w:rsidR="000623CD">
        <w:t xml:space="preserve"> staff burnout and fears for career prospects documented.</w:t>
      </w:r>
      <w:r w:rsidR="00B179D8">
        <w:t xml:space="preserve"> </w:t>
      </w:r>
      <w:r w:rsidR="00C053C1">
        <w:t>The literature highlights the stress caused</w:t>
      </w:r>
      <w:r w:rsidR="00247DBE">
        <w:t xml:space="preserve"> to</w:t>
      </w:r>
      <w:r w:rsidR="00C053C1">
        <w:t xml:space="preserve"> healthcare professionals </w:t>
      </w:r>
      <w:r w:rsidR="007023AB">
        <w:t>when switching from</w:t>
      </w:r>
      <w:r w:rsidR="00247DBE">
        <w:t xml:space="preserve"> seeking consensus </w:t>
      </w:r>
      <w:r w:rsidR="00641EF0">
        <w:t>with families</w:t>
      </w:r>
      <w:r w:rsidR="007023AB">
        <w:t xml:space="preserve"> </w:t>
      </w:r>
      <w:r w:rsidR="00641EF0">
        <w:t xml:space="preserve">to </w:t>
      </w:r>
      <w:r w:rsidR="0063257F">
        <w:t>the adversarial nature of court proceedings</w:t>
      </w:r>
      <w:r w:rsidR="00D93B01">
        <w:t xml:space="preserve">, and the negative impact that </w:t>
      </w:r>
      <w:r w:rsidR="00B2567A">
        <w:t>media exposure of these court cases can generate</w:t>
      </w:r>
      <w:r w:rsidR="00782DD1">
        <w:t>.</w:t>
      </w:r>
      <w:r w:rsidR="000623CD">
        <w:t xml:space="preserve"> In co</w:t>
      </w:r>
      <w:r w:rsidR="000A4968">
        <w:t>ntrast</w:t>
      </w:r>
      <w:r w:rsidR="000623CD">
        <w:t>, there is a significant gap in the literature relating to the impact on the child, which may be attributed to the legal and ethical difficulties of undertaking research with child patients, or the practical reality that child patients may not survive far beyond the decision, or ever have sufficient capacity to be able to share their experiences. Nonetheless, there is an assumption in the literature that disagreement and court proc</w:t>
      </w:r>
      <w:r w:rsidR="009F1583">
        <w:t>eedings</w:t>
      </w:r>
      <w:r w:rsidR="000623CD">
        <w:t xml:space="preserve"> are detrimental to the child. The literature on the impact on families paints a more nuanced picture, with</w:t>
      </w:r>
      <w:r w:rsidR="00E4094D">
        <w:t xml:space="preserve"> the majority focus given to</w:t>
      </w:r>
      <w:r w:rsidR="000623CD">
        <w:t xml:space="preserve"> accounts of psychological trauma</w:t>
      </w:r>
      <w:r w:rsidR="00354160">
        <w:t xml:space="preserve">, </w:t>
      </w:r>
      <w:r w:rsidR="000623CD">
        <w:t>moral distress</w:t>
      </w:r>
      <w:r w:rsidR="00354160">
        <w:t>, relat</w:t>
      </w:r>
      <w:r w:rsidR="0098774D">
        <w:t>i</w:t>
      </w:r>
      <w:r w:rsidR="00F22C2D">
        <w:t>onship deterioration</w:t>
      </w:r>
      <w:r w:rsidR="00935236">
        <w:t xml:space="preserve"> </w:t>
      </w:r>
      <w:r w:rsidR="00B83351">
        <w:t>and financial implications</w:t>
      </w:r>
      <w:r w:rsidR="000623CD">
        <w:t xml:space="preserve"> arising from experiences both within the hospital and the courtroom</w:t>
      </w:r>
      <w:r w:rsidR="00F22C2D">
        <w:t xml:space="preserve"> -</w:t>
      </w:r>
      <w:r w:rsidR="00684DA4">
        <w:t xml:space="preserve"> the impact of which can be underestimated by healthcare professionals. </w:t>
      </w:r>
      <w:r w:rsidR="000623CD">
        <w:t>Poor experiences can have wide</w:t>
      </w:r>
      <w:r w:rsidR="00601BED">
        <w:t>-</w:t>
      </w:r>
      <w:r w:rsidR="000623CD">
        <w:t>ranging implications in undermining trust in doctors, the health service, the legal system and even the government. Yet,</w:t>
      </w:r>
      <w:r w:rsidR="006D06EF">
        <w:t xml:space="preserve"> there may be a disconnect between </w:t>
      </w:r>
      <w:r w:rsidR="00A31C48">
        <w:t>findings</w:t>
      </w:r>
      <w:r w:rsidR="006D06EF">
        <w:t xml:space="preserve"> in the academic literature and </w:t>
      </w:r>
      <w:r w:rsidR="00F87CF9">
        <w:t>the lived reality of families, as</w:t>
      </w:r>
      <w:r w:rsidR="000623CD">
        <w:t xml:space="preserve"> for some parents the opportunity to have their voice heard and views examined by the courts is highly valued. </w:t>
      </w:r>
      <w:r w:rsidR="00B27BE8">
        <w:t xml:space="preserve">Literature </w:t>
      </w:r>
      <w:r w:rsidR="00A31C48">
        <w:t>on the impact on the</w:t>
      </w:r>
      <w:r w:rsidR="000623CD">
        <w:t xml:space="preserve"> NHS and wider society</w:t>
      </w:r>
      <w:r w:rsidR="00B27BE8">
        <w:t xml:space="preserve"> is scarce</w:t>
      </w:r>
      <w:r w:rsidR="000623CD">
        <w:t>,</w:t>
      </w:r>
      <w:r w:rsidR="006C71F9">
        <w:t xml:space="preserve"> but </w:t>
      </w:r>
      <w:r w:rsidR="009A7C64">
        <w:t>changes in policy and adoption of defensive practice,</w:t>
      </w:r>
      <w:r w:rsidR="00FF7F35">
        <w:t xml:space="preserve"> financial and staffing implications,</w:t>
      </w:r>
      <w:r w:rsidR="00F87CF9">
        <w:t xml:space="preserve"> </w:t>
      </w:r>
      <w:r w:rsidR="000623CD">
        <w:t>reputational damage</w:t>
      </w:r>
      <w:r w:rsidR="00FF7F35">
        <w:t>,</w:t>
      </w:r>
      <w:r w:rsidR="000623CD">
        <w:t xml:space="preserve"> and </w:t>
      </w:r>
      <w:r w:rsidR="00C83562">
        <w:t>an increasing climate of publi</w:t>
      </w:r>
      <w:r w:rsidR="008F1CDC">
        <w:t>c</w:t>
      </w:r>
      <w:r w:rsidR="00C83562">
        <w:t xml:space="preserve"> critical opinion agains</w:t>
      </w:r>
      <w:r w:rsidR="008F1CDC">
        <w:t xml:space="preserve">t </w:t>
      </w:r>
      <w:r w:rsidR="000623CD">
        <w:t>the health service</w:t>
      </w:r>
      <w:r w:rsidR="001C4553">
        <w:t>,</w:t>
      </w:r>
      <w:r w:rsidR="006C71F9">
        <w:t xml:space="preserve"> are documented.</w:t>
      </w:r>
    </w:p>
    <w:p w:rsidRPr="008F22EA" w:rsidR="000A4968" w:rsidP="008F22EA" w:rsidRDefault="000A4968" w14:paraId="065F2A98" w14:textId="77777777">
      <w:pPr>
        <w:jc w:val="both"/>
        <w:rPr>
          <w:color w:val="002060"/>
          <w:sz w:val="24"/>
          <w:szCs w:val="24"/>
        </w:rPr>
      </w:pPr>
    </w:p>
    <w:p w:rsidR="00504474" w:rsidP="00215352" w:rsidRDefault="00504474" w14:paraId="5D28955B" w14:textId="4E200D80">
      <w:pPr>
        <w:jc w:val="both"/>
        <w:rPr>
          <w:b/>
          <w:bCs/>
          <w:color w:val="002060"/>
          <w:sz w:val="28"/>
          <w:szCs w:val="28"/>
          <w:u w:val="single"/>
        </w:rPr>
      </w:pPr>
      <w:r>
        <w:rPr>
          <w:b/>
          <w:bCs/>
          <w:color w:val="002060"/>
          <w:sz w:val="28"/>
          <w:szCs w:val="28"/>
          <w:u w:val="single"/>
        </w:rPr>
        <w:t>C: Possible Means of Avoiding Disagreement or Resolving Disputes</w:t>
      </w:r>
    </w:p>
    <w:p w:rsidRPr="007A368C" w:rsidR="00937105" w:rsidP="00EF638C" w:rsidRDefault="00B35ED6" w14:paraId="3EB2C709" w14:textId="750D4046">
      <w:pPr>
        <w:pStyle w:val="ListParagraph"/>
        <w:numPr>
          <w:ilvl w:val="0"/>
          <w:numId w:val="2"/>
        </w:numPr>
        <w:jc w:val="both"/>
        <w:rPr>
          <w:sz w:val="24"/>
          <w:szCs w:val="24"/>
        </w:rPr>
      </w:pPr>
      <w:r w:rsidRPr="00D85CDE">
        <w:t>In this third sectio</w:t>
      </w:r>
      <w:r w:rsidRPr="00D85CDE" w:rsidR="005B064C">
        <w:t>n</w:t>
      </w:r>
      <w:r w:rsidRPr="00D85CDE" w:rsidR="00243D98">
        <w:t>,</w:t>
      </w:r>
      <w:r w:rsidRPr="00D85CDE" w:rsidR="005B064C">
        <w:t xml:space="preserve"> </w:t>
      </w:r>
      <w:r w:rsidRPr="00D85CDE" w:rsidR="00050FCB">
        <w:t>suggestions</w:t>
      </w:r>
      <w:r w:rsidRPr="00D85CDE" w:rsidR="00FD2A00">
        <w:t xml:space="preserve"> for avoiding disagreement, or recognising it in its early stages</w:t>
      </w:r>
      <w:r w:rsidRPr="00D85CDE" w:rsidR="005B064C">
        <w:t xml:space="preserve"> will be explored</w:t>
      </w:r>
      <w:r w:rsidRPr="00D85CDE" w:rsidR="00FD2A00">
        <w:t>, a</w:t>
      </w:r>
      <w:r w:rsidRPr="00D85CDE" w:rsidR="005B064C">
        <w:t>long with a</w:t>
      </w:r>
      <w:r w:rsidRPr="00D85CDE" w:rsidR="00FD2A00">
        <w:t xml:space="preserve"> review</w:t>
      </w:r>
      <w:r w:rsidRPr="00D85CDE" w:rsidR="005B064C">
        <w:t xml:space="preserve"> of</w:t>
      </w:r>
      <w:r w:rsidRPr="00D85CDE" w:rsidR="00FD2A00">
        <w:t xml:space="preserve"> the evidence on mechanisms to help resolve dispute.</w:t>
      </w:r>
      <w:r w:rsidRPr="00D85CDE" w:rsidR="00050FCB">
        <w:t xml:space="preserve"> </w:t>
      </w:r>
      <w:r w:rsidRPr="00D85CDE" w:rsidR="00D90116">
        <w:t xml:space="preserve">More than ten </w:t>
      </w:r>
      <w:r w:rsidRPr="00D85CDE" w:rsidR="006F3EF7">
        <w:t>years</w:t>
      </w:r>
      <w:r w:rsidRPr="00D85CDE" w:rsidR="00D90116">
        <w:t xml:space="preserve"> ago Teuten, </w:t>
      </w:r>
      <w:r w:rsidRPr="00D85CDE" w:rsidR="00050FCB">
        <w:t>Forbat and Barclay</w:t>
      </w:r>
      <w:r w:rsidRPr="00D85CDE" w:rsidR="00955780">
        <w:t xml:space="preserve"> undertook a project seeking to </w:t>
      </w:r>
      <w:r w:rsidRPr="00D85CDE" w:rsidR="001B5DDD">
        <w:t>discover</w:t>
      </w:r>
      <w:r w:rsidRPr="00D85CDE" w:rsidR="00307714">
        <w:t xml:space="preserve"> if conflict follows an identifiable path and </w:t>
      </w:r>
      <w:r w:rsidRPr="00D85CDE" w:rsidR="00E6024F">
        <w:t>found that</w:t>
      </w:r>
      <w:r w:rsidRPr="00D85CDE" w:rsidR="00050FCB">
        <w:t xml:space="preserve"> </w:t>
      </w:r>
      <w:r w:rsidRPr="00D85CDE" w:rsidR="00174282">
        <w:t>there were</w:t>
      </w:r>
      <w:r w:rsidRPr="00D85CDE" w:rsidR="000B4D37">
        <w:t xml:space="preserve"> triggers </w:t>
      </w:r>
      <w:r w:rsidRPr="00D85CDE" w:rsidR="000D146B">
        <w:t>for conflict and</w:t>
      </w:r>
      <w:r w:rsidRPr="00D85CDE" w:rsidR="00174282">
        <w:t xml:space="preserve"> warning signs </w:t>
      </w:r>
      <w:r w:rsidRPr="00D85CDE" w:rsidR="000D146B">
        <w:t>of its</w:t>
      </w:r>
      <w:r w:rsidRPr="00D85CDE" w:rsidR="00174282">
        <w:t xml:space="preserve"> escalation</w:t>
      </w:r>
      <w:r w:rsidRPr="00D85CDE" w:rsidR="000D146B">
        <w:t>.</w:t>
      </w:r>
      <w:r w:rsidRPr="00D85CDE" w:rsidR="00A465F6">
        <w:rPr>
          <w:rStyle w:val="FootnoteReference"/>
        </w:rPr>
        <w:footnoteReference w:id="238"/>
      </w:r>
      <w:r w:rsidRPr="00D85CDE" w:rsidR="00174282">
        <w:t xml:space="preserve"> </w:t>
      </w:r>
      <w:r w:rsidRPr="00D85CDE" w:rsidR="00953E9C">
        <w:t>They pose</w:t>
      </w:r>
      <w:r w:rsidRPr="00D85CDE" w:rsidR="000D146B">
        <w:t>d</w:t>
      </w:r>
      <w:r w:rsidRPr="00D85CDE" w:rsidR="00953E9C">
        <w:t xml:space="preserve"> a helpful </w:t>
      </w:r>
      <w:r w:rsidRPr="00D85CDE" w:rsidR="00B61C92">
        <w:t>“traffic lights” model</w:t>
      </w:r>
      <w:r w:rsidRPr="00D85CDE" w:rsidR="000608C1">
        <w:t xml:space="preserve"> as a way of categorising severity of disagreement and matching it with the appropriate responses</w:t>
      </w:r>
      <w:r w:rsidRPr="00D85CDE" w:rsidR="000B7641">
        <w:t xml:space="preserve"> – the “green zone” for </w:t>
      </w:r>
      <w:r w:rsidRPr="00D85CDE" w:rsidR="009877C8">
        <w:t>mild</w:t>
      </w:r>
      <w:r w:rsidRPr="00D85CDE" w:rsidR="000B7641">
        <w:t xml:space="preserve"> conflict which can be </w:t>
      </w:r>
      <w:r w:rsidRPr="00D85CDE" w:rsidR="00A3264E">
        <w:t xml:space="preserve">addressed with internal strategies; the “amber zone” for </w:t>
      </w:r>
      <w:r w:rsidRPr="00D85CDE" w:rsidR="00B45AD8">
        <w:t>moderate</w:t>
      </w:r>
      <w:r w:rsidRPr="007A368C" w:rsidR="00B45AD8">
        <w:rPr>
          <w:sz w:val="24"/>
          <w:szCs w:val="24"/>
        </w:rPr>
        <w:t xml:space="preserve"> </w:t>
      </w:r>
      <w:r w:rsidRPr="00D85CDE" w:rsidR="00B45AD8">
        <w:t>level conflict, which may need some third</w:t>
      </w:r>
      <w:r w:rsidRPr="00D85CDE" w:rsidR="0030500D">
        <w:t>-</w:t>
      </w:r>
      <w:r w:rsidRPr="00D85CDE" w:rsidR="00B45AD8">
        <w:t xml:space="preserve">party intervention; and finally the “red zone” for the most severe conflicts, which will </w:t>
      </w:r>
      <w:r w:rsidRPr="00D85CDE" w:rsidR="0030500D">
        <w:t>often need legal resolution.</w:t>
      </w:r>
      <w:r w:rsidR="00D85CDE">
        <w:t xml:space="preserve"> T</w:t>
      </w:r>
      <w:r w:rsidRPr="00D85CDE" w:rsidR="000608C1">
        <w:t>heir model</w:t>
      </w:r>
      <w:r w:rsidR="00D85CDE">
        <w:t xml:space="preserve"> will be used</w:t>
      </w:r>
      <w:r w:rsidRPr="00D85CDE" w:rsidR="000608C1">
        <w:t xml:space="preserve"> to guide the examination of the literature in this section.</w:t>
      </w:r>
      <w:r w:rsidRPr="007A368C" w:rsidR="000608C1">
        <w:rPr>
          <w:sz w:val="24"/>
          <w:szCs w:val="24"/>
        </w:rPr>
        <w:t xml:space="preserve"> </w:t>
      </w:r>
    </w:p>
    <w:p w:rsidRPr="00B35ED6" w:rsidR="00875834" w:rsidP="00215352" w:rsidRDefault="00875834" w14:paraId="4ACC8375" w14:textId="77777777">
      <w:pPr>
        <w:jc w:val="both"/>
        <w:rPr>
          <w:sz w:val="24"/>
          <w:szCs w:val="24"/>
        </w:rPr>
      </w:pPr>
    </w:p>
    <w:p w:rsidRPr="008E20B9" w:rsidR="001E0576" w:rsidP="008E20B9" w:rsidRDefault="008E20B9" w14:paraId="30E0B0C4" w14:textId="440C97BB">
      <w:pPr>
        <w:jc w:val="both"/>
        <w:rPr>
          <w:b/>
          <w:bCs/>
          <w:color w:val="002060"/>
          <w:sz w:val="24"/>
          <w:szCs w:val="24"/>
          <w:u w:val="single"/>
        </w:rPr>
      </w:pPr>
      <w:r>
        <w:rPr>
          <w:b/>
          <w:bCs/>
          <w:color w:val="002060"/>
          <w:sz w:val="24"/>
          <w:szCs w:val="24"/>
          <w:u w:val="single"/>
        </w:rPr>
        <w:t>a)</w:t>
      </w:r>
      <w:r w:rsidR="002E376B">
        <w:rPr>
          <w:b/>
          <w:bCs/>
          <w:color w:val="002060"/>
          <w:sz w:val="24"/>
          <w:szCs w:val="24"/>
          <w:u w:val="single"/>
        </w:rPr>
        <w:t xml:space="preserve"> </w:t>
      </w:r>
      <w:r w:rsidRPr="008E20B9" w:rsidR="00B57129">
        <w:rPr>
          <w:b/>
          <w:bCs/>
          <w:color w:val="002060"/>
          <w:sz w:val="24"/>
          <w:szCs w:val="24"/>
          <w:u w:val="single"/>
        </w:rPr>
        <w:t>Green</w:t>
      </w:r>
      <w:r w:rsidRPr="008E20B9" w:rsidR="00F0572A">
        <w:rPr>
          <w:b/>
          <w:bCs/>
          <w:color w:val="002060"/>
          <w:sz w:val="24"/>
          <w:szCs w:val="24"/>
          <w:u w:val="single"/>
        </w:rPr>
        <w:t xml:space="preserve"> Zone</w:t>
      </w:r>
      <w:r w:rsidRPr="008E20B9" w:rsidR="00DE62CA">
        <w:rPr>
          <w:b/>
          <w:bCs/>
          <w:color w:val="002060"/>
          <w:sz w:val="24"/>
          <w:szCs w:val="24"/>
          <w:u w:val="single"/>
        </w:rPr>
        <w:t>:</w:t>
      </w:r>
      <w:r w:rsidRPr="008E20B9" w:rsidR="00F0572A">
        <w:rPr>
          <w:b/>
          <w:bCs/>
          <w:color w:val="002060"/>
          <w:sz w:val="24"/>
          <w:szCs w:val="24"/>
          <w:u w:val="single"/>
        </w:rPr>
        <w:t xml:space="preserve"> </w:t>
      </w:r>
      <w:r w:rsidRPr="008E20B9" w:rsidR="00DE377F">
        <w:rPr>
          <w:b/>
          <w:bCs/>
          <w:color w:val="002060"/>
          <w:sz w:val="24"/>
          <w:szCs w:val="24"/>
          <w:u w:val="single"/>
        </w:rPr>
        <w:t>Mild</w:t>
      </w:r>
      <w:r w:rsidRPr="008E20B9" w:rsidR="00875834">
        <w:rPr>
          <w:b/>
          <w:bCs/>
          <w:color w:val="002060"/>
          <w:sz w:val="24"/>
          <w:szCs w:val="24"/>
          <w:u w:val="single"/>
        </w:rPr>
        <w:t xml:space="preserve"> </w:t>
      </w:r>
      <w:r w:rsidRPr="008E20B9" w:rsidR="00F0572A">
        <w:rPr>
          <w:b/>
          <w:bCs/>
          <w:color w:val="002060"/>
          <w:sz w:val="24"/>
          <w:szCs w:val="24"/>
          <w:u w:val="single"/>
        </w:rPr>
        <w:t>Conflict</w:t>
      </w:r>
      <w:r w:rsidRPr="008E20B9" w:rsidR="00DE62CA">
        <w:rPr>
          <w:b/>
          <w:bCs/>
          <w:color w:val="002060"/>
          <w:sz w:val="24"/>
          <w:szCs w:val="24"/>
          <w:u w:val="single"/>
        </w:rPr>
        <w:t xml:space="preserve"> – Internal Mechanisms</w:t>
      </w:r>
    </w:p>
    <w:p w:rsidRPr="00C42A64" w:rsidR="00CA1DD2" w:rsidP="00DE62CA" w:rsidRDefault="00C854FD" w14:paraId="52D610F9" w14:textId="0811D761">
      <w:pPr>
        <w:jc w:val="both"/>
        <w:rPr>
          <w:i/>
          <w:iCs/>
          <w:color w:val="002060"/>
          <w:sz w:val="24"/>
          <w:szCs w:val="24"/>
        </w:rPr>
      </w:pPr>
      <w:r>
        <w:rPr>
          <w:i/>
          <w:iCs/>
          <w:color w:val="002060"/>
          <w:sz w:val="24"/>
          <w:szCs w:val="24"/>
        </w:rPr>
        <w:t>i)</w:t>
      </w:r>
      <w:r w:rsidRPr="00C42A64" w:rsidR="00C42A64">
        <w:rPr>
          <w:i/>
          <w:iCs/>
          <w:color w:val="002060"/>
          <w:sz w:val="24"/>
          <w:szCs w:val="24"/>
        </w:rPr>
        <w:t xml:space="preserve"> Good </w:t>
      </w:r>
      <w:r w:rsidR="00792DA5">
        <w:rPr>
          <w:i/>
          <w:iCs/>
          <w:color w:val="002060"/>
          <w:sz w:val="24"/>
          <w:szCs w:val="24"/>
        </w:rPr>
        <w:t>c</w:t>
      </w:r>
      <w:r w:rsidRPr="00C42A64" w:rsidR="00C42A64">
        <w:rPr>
          <w:i/>
          <w:iCs/>
          <w:color w:val="002060"/>
          <w:sz w:val="24"/>
          <w:szCs w:val="24"/>
        </w:rPr>
        <w:t>ommunication</w:t>
      </w:r>
    </w:p>
    <w:p w:rsidRPr="00763E94" w:rsidR="00711647" w:rsidP="003768ED" w:rsidRDefault="00C854FD" w14:paraId="4D9424B3" w14:textId="76EAC2B7">
      <w:pPr>
        <w:pStyle w:val="Normal0"/>
        <w:numPr>
          <w:ilvl w:val="0"/>
          <w:numId w:val="2"/>
        </w:numPr>
        <w:jc w:val="both"/>
        <w:rPr>
          <w:rFonts w:ascii="Segoe UI" w:hAnsi="Segoe UI" w:cs="Segoe UI"/>
          <w:sz w:val="22"/>
          <w:szCs w:val="22"/>
        </w:rPr>
      </w:pPr>
      <w:r w:rsidRPr="090C4359">
        <w:rPr>
          <w:rFonts w:asciiTheme="minorHAnsi" w:hAnsiTheme="minorHAnsi" w:cstheme="minorBidi"/>
          <w:sz w:val="22"/>
          <w:szCs w:val="22"/>
        </w:rPr>
        <w:t xml:space="preserve">There is much made in the literature </w:t>
      </w:r>
      <w:r w:rsidRPr="090C4359" w:rsidR="007F29B7">
        <w:rPr>
          <w:rFonts w:asciiTheme="minorHAnsi" w:hAnsiTheme="minorHAnsi" w:cstheme="minorBidi"/>
          <w:sz w:val="22"/>
          <w:szCs w:val="22"/>
        </w:rPr>
        <w:t>of</w:t>
      </w:r>
      <w:r w:rsidRPr="090C4359">
        <w:rPr>
          <w:rFonts w:asciiTheme="minorHAnsi" w:hAnsiTheme="minorHAnsi" w:cstheme="minorBidi"/>
          <w:sz w:val="22"/>
          <w:szCs w:val="22"/>
        </w:rPr>
        <w:t xml:space="preserve"> the merits of good communication in both avoiding disagreements</w:t>
      </w:r>
      <w:r w:rsidRPr="090C4359" w:rsidR="00943111">
        <w:rPr>
          <w:rFonts w:asciiTheme="minorHAnsi" w:hAnsiTheme="minorHAnsi" w:cstheme="minorBidi"/>
          <w:sz w:val="22"/>
          <w:szCs w:val="22"/>
        </w:rPr>
        <w:t>,</w:t>
      </w:r>
      <w:r w:rsidRPr="090C4359">
        <w:rPr>
          <w:rFonts w:asciiTheme="minorHAnsi" w:hAnsiTheme="minorHAnsi" w:cstheme="minorBidi"/>
          <w:sz w:val="22"/>
          <w:szCs w:val="22"/>
        </w:rPr>
        <w:t xml:space="preserve"> </w:t>
      </w:r>
      <w:r w:rsidRPr="090C4359" w:rsidR="003A31DA">
        <w:rPr>
          <w:rFonts w:asciiTheme="minorHAnsi" w:hAnsiTheme="minorHAnsi" w:cstheme="minorBidi"/>
          <w:sz w:val="22"/>
          <w:szCs w:val="22"/>
        </w:rPr>
        <w:t>or</w:t>
      </w:r>
      <w:r w:rsidRPr="090C4359">
        <w:rPr>
          <w:rFonts w:asciiTheme="minorHAnsi" w:hAnsiTheme="minorHAnsi" w:cstheme="minorBidi"/>
          <w:sz w:val="22"/>
          <w:szCs w:val="22"/>
        </w:rPr>
        <w:t xml:space="preserve"> in</w:t>
      </w:r>
      <w:r w:rsidRPr="090C4359" w:rsidR="008E51FE">
        <w:rPr>
          <w:rFonts w:asciiTheme="minorHAnsi" w:hAnsiTheme="minorHAnsi" w:cstheme="minorBidi"/>
          <w:sz w:val="22"/>
          <w:szCs w:val="22"/>
        </w:rPr>
        <w:t xml:space="preserve"> </w:t>
      </w:r>
      <w:r w:rsidRPr="090C4359" w:rsidR="00943111">
        <w:rPr>
          <w:rFonts w:asciiTheme="minorHAnsi" w:hAnsiTheme="minorHAnsi" w:cstheme="minorBidi"/>
          <w:sz w:val="22"/>
          <w:szCs w:val="22"/>
        </w:rPr>
        <w:t xml:space="preserve">their </w:t>
      </w:r>
      <w:r w:rsidRPr="090C4359" w:rsidR="008E51FE">
        <w:rPr>
          <w:rFonts w:asciiTheme="minorHAnsi" w:hAnsiTheme="minorHAnsi" w:cstheme="minorBidi"/>
          <w:sz w:val="22"/>
          <w:szCs w:val="22"/>
        </w:rPr>
        <w:t>early resolution</w:t>
      </w:r>
      <w:r w:rsidRPr="090C4359" w:rsidR="00162084">
        <w:rPr>
          <w:rFonts w:asciiTheme="minorHAnsi" w:hAnsiTheme="minorHAnsi" w:cstheme="minorBidi"/>
          <w:sz w:val="22"/>
          <w:szCs w:val="22"/>
        </w:rPr>
        <w:t>.</w:t>
      </w:r>
      <w:r w:rsidRPr="090C4359" w:rsidR="007036E3">
        <w:rPr>
          <w:rFonts w:asciiTheme="minorHAnsi" w:hAnsiTheme="minorHAnsi" w:cstheme="minorBidi"/>
          <w:sz w:val="22"/>
          <w:szCs w:val="22"/>
        </w:rPr>
        <w:t xml:space="preserve"> Forbat and Barclay claim it is a ‘core skill</w:t>
      </w:r>
      <w:r w:rsidRPr="090C4359" w:rsidR="00BC3FF0">
        <w:rPr>
          <w:rFonts w:asciiTheme="minorHAnsi" w:hAnsiTheme="minorHAnsi" w:cstheme="minorBidi"/>
          <w:sz w:val="22"/>
          <w:szCs w:val="22"/>
        </w:rPr>
        <w:t>’ in paedi</w:t>
      </w:r>
      <w:r w:rsidRPr="090C4359" w:rsidR="001449C0">
        <w:rPr>
          <w:rFonts w:asciiTheme="minorHAnsi" w:hAnsiTheme="minorHAnsi" w:cstheme="minorBidi"/>
          <w:sz w:val="22"/>
          <w:szCs w:val="22"/>
        </w:rPr>
        <w:t>at</w:t>
      </w:r>
      <w:r w:rsidRPr="090C4359" w:rsidR="00BC3FF0">
        <w:rPr>
          <w:rFonts w:asciiTheme="minorHAnsi" w:hAnsiTheme="minorHAnsi" w:cstheme="minorBidi"/>
          <w:sz w:val="22"/>
          <w:szCs w:val="22"/>
        </w:rPr>
        <w:t>ric specialities where there is complex case management of critically-ill children.</w:t>
      </w:r>
      <w:r w:rsidRPr="090C4359" w:rsidR="00BC3FF0">
        <w:rPr>
          <w:rStyle w:val="FootnoteReference"/>
          <w:rFonts w:asciiTheme="minorHAnsi" w:hAnsiTheme="minorHAnsi" w:cstheme="minorBidi"/>
          <w:sz w:val="22"/>
          <w:szCs w:val="22"/>
        </w:rPr>
        <w:footnoteReference w:id="239"/>
      </w:r>
      <w:r w:rsidRPr="090C4359" w:rsidR="001449C0">
        <w:rPr>
          <w:rFonts w:asciiTheme="minorHAnsi" w:hAnsiTheme="minorHAnsi" w:cstheme="minorBidi"/>
          <w:sz w:val="22"/>
          <w:szCs w:val="22"/>
        </w:rPr>
        <w:t xml:space="preserve"> </w:t>
      </w:r>
      <w:r w:rsidRPr="090C4359" w:rsidR="0075531E">
        <w:rPr>
          <w:rFonts w:asciiTheme="minorHAnsi" w:hAnsiTheme="minorHAnsi" w:cstheme="minorBidi"/>
          <w:sz w:val="22"/>
          <w:szCs w:val="22"/>
        </w:rPr>
        <w:t xml:space="preserve">Wilkinson and Savulescu </w:t>
      </w:r>
      <w:r w:rsidRPr="090C4359" w:rsidR="00C974F7">
        <w:rPr>
          <w:rFonts w:asciiTheme="minorHAnsi" w:hAnsiTheme="minorHAnsi" w:cstheme="minorBidi"/>
          <w:sz w:val="22"/>
          <w:szCs w:val="22"/>
        </w:rPr>
        <w:t xml:space="preserve">outline the general approach in professional guidelines of seeking </w:t>
      </w:r>
      <w:r w:rsidRPr="090C4359" w:rsidR="000C1AAD">
        <w:rPr>
          <w:rFonts w:asciiTheme="minorHAnsi" w:hAnsiTheme="minorHAnsi" w:cstheme="minorBidi"/>
          <w:sz w:val="22"/>
          <w:szCs w:val="22"/>
        </w:rPr>
        <w:t xml:space="preserve">consensus between </w:t>
      </w:r>
      <w:r w:rsidRPr="090C4359" w:rsidR="004D5C38">
        <w:rPr>
          <w:rFonts w:asciiTheme="minorHAnsi" w:hAnsiTheme="minorHAnsi" w:cstheme="minorBidi"/>
          <w:sz w:val="22"/>
          <w:szCs w:val="22"/>
        </w:rPr>
        <w:t>professionals before proceeding to limit or withdraw treatment</w:t>
      </w:r>
      <w:r w:rsidRPr="090C4359" w:rsidR="008A34F9">
        <w:rPr>
          <w:rFonts w:asciiTheme="minorHAnsi" w:hAnsiTheme="minorHAnsi" w:cstheme="minorBidi"/>
          <w:sz w:val="22"/>
          <w:szCs w:val="22"/>
        </w:rPr>
        <w:t>, although they question whether consensus means unanimity or a</w:t>
      </w:r>
      <w:r w:rsidRPr="090C4359" w:rsidR="00BC3FF0">
        <w:rPr>
          <w:rFonts w:asciiTheme="minorHAnsi" w:hAnsiTheme="minorHAnsi" w:cstheme="minorBidi"/>
          <w:sz w:val="22"/>
          <w:szCs w:val="22"/>
        </w:rPr>
        <w:t xml:space="preserve"> m</w:t>
      </w:r>
      <w:r w:rsidRPr="090C4359" w:rsidR="008A34F9">
        <w:rPr>
          <w:rFonts w:asciiTheme="minorHAnsi" w:hAnsiTheme="minorHAnsi" w:cstheme="minorBidi"/>
          <w:sz w:val="22"/>
          <w:szCs w:val="22"/>
        </w:rPr>
        <w:t xml:space="preserve">ajority view. </w:t>
      </w:r>
      <w:r w:rsidRPr="090C4359" w:rsidR="008A34F9">
        <w:rPr>
          <w:rStyle w:val="FootnoteReference"/>
          <w:rFonts w:asciiTheme="minorHAnsi" w:hAnsiTheme="minorHAnsi" w:cstheme="minorBidi"/>
          <w:sz w:val="22"/>
          <w:szCs w:val="22"/>
        </w:rPr>
        <w:footnoteReference w:id="240"/>
      </w:r>
      <w:r w:rsidRPr="090C4359" w:rsidR="00E76DB3">
        <w:rPr>
          <w:rFonts w:asciiTheme="minorHAnsi" w:hAnsiTheme="minorHAnsi" w:cstheme="minorBidi"/>
          <w:sz w:val="22"/>
          <w:szCs w:val="22"/>
        </w:rPr>
        <w:t xml:space="preserve"> </w:t>
      </w:r>
      <w:r w:rsidRPr="090C4359" w:rsidR="004D5C38">
        <w:rPr>
          <w:rFonts w:asciiTheme="minorHAnsi" w:hAnsiTheme="minorHAnsi" w:cstheme="minorBidi"/>
          <w:sz w:val="22"/>
          <w:szCs w:val="22"/>
        </w:rPr>
        <w:t>The</w:t>
      </w:r>
      <w:r w:rsidRPr="090C4359" w:rsidR="00EB2A19">
        <w:rPr>
          <w:rFonts w:asciiTheme="minorHAnsi" w:hAnsiTheme="minorHAnsi" w:cstheme="minorBidi"/>
          <w:sz w:val="22"/>
          <w:szCs w:val="22"/>
        </w:rPr>
        <w:t>y claim that the</w:t>
      </w:r>
      <w:r w:rsidRPr="090C4359" w:rsidR="00191EEF">
        <w:rPr>
          <w:rFonts w:asciiTheme="minorHAnsi" w:hAnsiTheme="minorHAnsi" w:cstheme="minorBidi"/>
          <w:sz w:val="22"/>
          <w:szCs w:val="22"/>
        </w:rPr>
        <w:t xml:space="preserve"> </w:t>
      </w:r>
      <w:r w:rsidRPr="090C4359" w:rsidR="00451D62">
        <w:rPr>
          <w:rFonts w:asciiTheme="minorHAnsi" w:hAnsiTheme="minorHAnsi" w:cstheme="minorBidi"/>
          <w:sz w:val="22"/>
          <w:szCs w:val="22"/>
        </w:rPr>
        <w:t>utility of a</w:t>
      </w:r>
      <w:r w:rsidRPr="090C4359" w:rsidR="00191EEF">
        <w:rPr>
          <w:rFonts w:asciiTheme="minorHAnsi" w:hAnsiTheme="minorHAnsi" w:cstheme="minorBidi"/>
          <w:sz w:val="22"/>
          <w:szCs w:val="22"/>
        </w:rPr>
        <w:t xml:space="preserve"> consensus approach</w:t>
      </w:r>
      <w:r w:rsidRPr="090C4359" w:rsidR="002E4E53">
        <w:rPr>
          <w:rFonts w:asciiTheme="minorHAnsi" w:hAnsiTheme="minorHAnsi" w:cstheme="minorBidi"/>
          <w:sz w:val="22"/>
          <w:szCs w:val="22"/>
        </w:rPr>
        <w:t xml:space="preserve"> is</w:t>
      </w:r>
      <w:r w:rsidRPr="090C4359" w:rsidR="00132869">
        <w:rPr>
          <w:rFonts w:asciiTheme="minorHAnsi" w:hAnsiTheme="minorHAnsi" w:cstheme="minorBidi"/>
          <w:sz w:val="22"/>
          <w:szCs w:val="22"/>
        </w:rPr>
        <w:t xml:space="preserve"> that</w:t>
      </w:r>
      <w:r w:rsidRPr="090C4359" w:rsidR="002E4E53">
        <w:rPr>
          <w:rFonts w:asciiTheme="minorHAnsi" w:hAnsiTheme="minorHAnsi" w:cstheme="minorBidi"/>
          <w:sz w:val="22"/>
          <w:szCs w:val="22"/>
        </w:rPr>
        <w:t xml:space="preserve"> </w:t>
      </w:r>
      <w:r w:rsidRPr="090C4359" w:rsidR="008C6900">
        <w:rPr>
          <w:rFonts w:asciiTheme="minorHAnsi" w:hAnsiTheme="minorHAnsi" w:cstheme="minorBidi"/>
          <w:sz w:val="22"/>
          <w:szCs w:val="22"/>
        </w:rPr>
        <w:t xml:space="preserve">it acts as recognition of the seriousness of the decision, can </w:t>
      </w:r>
      <w:r w:rsidRPr="090C4359" w:rsidR="00821765">
        <w:rPr>
          <w:rFonts w:asciiTheme="minorHAnsi" w:hAnsiTheme="minorHAnsi" w:cstheme="minorBidi"/>
          <w:sz w:val="22"/>
          <w:szCs w:val="22"/>
        </w:rPr>
        <w:t>be psychologically beneficial to families</w:t>
      </w:r>
      <w:r w:rsidRPr="090C4359" w:rsidR="00132869">
        <w:rPr>
          <w:rFonts w:asciiTheme="minorHAnsi" w:hAnsiTheme="minorHAnsi" w:cstheme="minorBidi"/>
          <w:sz w:val="22"/>
          <w:szCs w:val="22"/>
        </w:rPr>
        <w:t>,</w:t>
      </w:r>
      <w:r w:rsidRPr="090C4359" w:rsidR="00821765">
        <w:rPr>
          <w:rFonts w:asciiTheme="minorHAnsi" w:hAnsiTheme="minorHAnsi" w:cstheme="minorBidi"/>
          <w:sz w:val="22"/>
          <w:szCs w:val="22"/>
        </w:rPr>
        <w:t xml:space="preserve"> and ca</w:t>
      </w:r>
      <w:r w:rsidRPr="090C4359" w:rsidR="00132869">
        <w:rPr>
          <w:rFonts w:asciiTheme="minorHAnsi" w:hAnsiTheme="minorHAnsi" w:cstheme="minorBidi"/>
          <w:sz w:val="22"/>
          <w:szCs w:val="22"/>
        </w:rPr>
        <w:t>n</w:t>
      </w:r>
      <w:r w:rsidRPr="090C4359" w:rsidR="00821765">
        <w:rPr>
          <w:rFonts w:asciiTheme="minorHAnsi" w:hAnsiTheme="minorHAnsi" w:cstheme="minorBidi"/>
          <w:sz w:val="22"/>
          <w:szCs w:val="22"/>
        </w:rPr>
        <w:t xml:space="preserve"> provide </w:t>
      </w:r>
      <w:r w:rsidRPr="090C4359" w:rsidR="004B57F4">
        <w:rPr>
          <w:rFonts w:asciiTheme="minorHAnsi" w:hAnsiTheme="minorHAnsi" w:cstheme="minorBidi"/>
          <w:sz w:val="22"/>
          <w:szCs w:val="22"/>
        </w:rPr>
        <w:t>confidence to professionals and reduce</w:t>
      </w:r>
      <w:r w:rsidRPr="090C4359" w:rsidR="00F4366A">
        <w:rPr>
          <w:rFonts w:asciiTheme="minorHAnsi" w:hAnsiTheme="minorHAnsi" w:cstheme="minorBidi"/>
          <w:sz w:val="22"/>
          <w:szCs w:val="22"/>
        </w:rPr>
        <w:t xml:space="preserve"> their ‘legal vulnerability’.</w:t>
      </w:r>
      <w:r w:rsidRPr="090C4359" w:rsidR="004B57F4">
        <w:rPr>
          <w:rStyle w:val="FootnoteReference"/>
          <w:rFonts w:asciiTheme="minorHAnsi" w:hAnsiTheme="minorHAnsi" w:cstheme="minorBidi"/>
          <w:sz w:val="22"/>
          <w:szCs w:val="22"/>
        </w:rPr>
        <w:footnoteReference w:id="241"/>
      </w:r>
      <w:r w:rsidRPr="090C4359" w:rsidR="00191EEF">
        <w:rPr>
          <w:rFonts w:asciiTheme="minorHAnsi" w:hAnsiTheme="minorHAnsi" w:cstheme="minorBidi"/>
          <w:sz w:val="22"/>
          <w:szCs w:val="22"/>
        </w:rPr>
        <w:t xml:space="preserve"> </w:t>
      </w:r>
      <w:r w:rsidRPr="090C4359" w:rsidR="00F4366A">
        <w:rPr>
          <w:rFonts w:asciiTheme="minorHAnsi" w:hAnsiTheme="minorHAnsi" w:cstheme="minorBidi"/>
          <w:sz w:val="22"/>
          <w:szCs w:val="22"/>
        </w:rPr>
        <w:t xml:space="preserve">Communication between parents and professionals in the form of discussion was </w:t>
      </w:r>
      <w:r w:rsidRPr="090C4359" w:rsidR="00DC0824">
        <w:rPr>
          <w:rFonts w:asciiTheme="minorHAnsi" w:hAnsiTheme="minorHAnsi" w:cstheme="minorBidi"/>
          <w:sz w:val="22"/>
          <w:szCs w:val="22"/>
        </w:rPr>
        <w:t>examined in</w:t>
      </w:r>
      <w:r w:rsidRPr="090C4359" w:rsidR="006E6205">
        <w:rPr>
          <w:rFonts w:asciiTheme="minorHAnsi" w:hAnsiTheme="minorHAnsi" w:cstheme="minorBidi"/>
          <w:sz w:val="22"/>
          <w:szCs w:val="22"/>
        </w:rPr>
        <w:t xml:space="preserve"> </w:t>
      </w:r>
      <w:r w:rsidRPr="090C4359" w:rsidR="00BE3E6B">
        <w:rPr>
          <w:rFonts w:asciiTheme="minorHAnsi" w:hAnsiTheme="minorHAnsi" w:cstheme="minorBidi"/>
          <w:sz w:val="22"/>
          <w:szCs w:val="22"/>
        </w:rPr>
        <w:t>Austin</w:t>
      </w:r>
      <w:r w:rsidRPr="090C4359" w:rsidR="006E6205">
        <w:rPr>
          <w:rFonts w:asciiTheme="minorHAnsi" w:hAnsiTheme="minorHAnsi" w:cstheme="minorBidi"/>
          <w:sz w:val="22"/>
          <w:szCs w:val="22"/>
        </w:rPr>
        <w:t>’s</w:t>
      </w:r>
      <w:r w:rsidRPr="090C4359" w:rsidR="00BE3E6B">
        <w:rPr>
          <w:rFonts w:asciiTheme="minorHAnsi" w:hAnsiTheme="minorHAnsi" w:cstheme="minorBidi"/>
          <w:sz w:val="22"/>
          <w:szCs w:val="22"/>
        </w:rPr>
        <w:t xml:space="preserve"> 2018 review</w:t>
      </w:r>
      <w:r w:rsidRPr="090C4359" w:rsidR="00DC0824">
        <w:rPr>
          <w:rFonts w:asciiTheme="minorHAnsi" w:hAnsiTheme="minorHAnsi" w:cstheme="minorBidi"/>
          <w:sz w:val="22"/>
          <w:szCs w:val="22"/>
        </w:rPr>
        <w:t xml:space="preserve"> and </w:t>
      </w:r>
      <w:r w:rsidRPr="090C4359" w:rsidR="00F65A54">
        <w:rPr>
          <w:rFonts w:asciiTheme="minorHAnsi" w:hAnsiTheme="minorHAnsi" w:cstheme="minorBidi"/>
          <w:sz w:val="22"/>
          <w:szCs w:val="22"/>
        </w:rPr>
        <w:t>characterised as a means of seeking cons</w:t>
      </w:r>
      <w:r w:rsidRPr="090C4359" w:rsidR="00586556">
        <w:rPr>
          <w:rFonts w:asciiTheme="minorHAnsi" w:hAnsiTheme="minorHAnsi" w:cstheme="minorBidi"/>
          <w:sz w:val="22"/>
          <w:szCs w:val="22"/>
        </w:rPr>
        <w:t xml:space="preserve">ensus through </w:t>
      </w:r>
      <w:r w:rsidRPr="090C4359" w:rsidR="00923BC9">
        <w:rPr>
          <w:rFonts w:asciiTheme="minorHAnsi" w:hAnsiTheme="minorHAnsi" w:cstheme="minorBidi"/>
          <w:sz w:val="22"/>
          <w:szCs w:val="22"/>
        </w:rPr>
        <w:t>“</w:t>
      </w:r>
      <w:r w:rsidRPr="090C4359" w:rsidR="00586556">
        <w:rPr>
          <w:rFonts w:asciiTheme="minorHAnsi" w:hAnsiTheme="minorHAnsi" w:cstheme="minorBidi"/>
          <w:sz w:val="22"/>
          <w:szCs w:val="22"/>
        </w:rPr>
        <w:t>shared-decision making</w:t>
      </w:r>
      <w:r w:rsidRPr="090C4359" w:rsidR="00923BC9">
        <w:rPr>
          <w:rFonts w:asciiTheme="minorHAnsi" w:hAnsiTheme="minorHAnsi" w:cstheme="minorBidi"/>
          <w:sz w:val="22"/>
          <w:szCs w:val="22"/>
        </w:rPr>
        <w:t>”</w:t>
      </w:r>
      <w:r w:rsidRPr="090C4359" w:rsidR="00162084">
        <w:rPr>
          <w:rFonts w:asciiTheme="minorHAnsi" w:hAnsiTheme="minorHAnsi" w:cstheme="minorBidi"/>
          <w:sz w:val="22"/>
          <w:szCs w:val="22"/>
        </w:rPr>
        <w:t>.</w:t>
      </w:r>
      <w:r w:rsidRPr="090C4359" w:rsidR="00587FAE">
        <w:rPr>
          <w:rStyle w:val="FootnoteReference"/>
          <w:rFonts w:asciiTheme="minorHAnsi" w:hAnsiTheme="minorHAnsi" w:cstheme="minorBidi"/>
          <w:sz w:val="22"/>
          <w:szCs w:val="22"/>
        </w:rPr>
        <w:footnoteReference w:id="242"/>
      </w:r>
      <w:r w:rsidRPr="090C4359" w:rsidR="00E73461">
        <w:rPr>
          <w:rFonts w:asciiTheme="minorHAnsi" w:hAnsiTheme="minorHAnsi" w:cstheme="minorBidi"/>
          <w:sz w:val="22"/>
          <w:szCs w:val="22"/>
        </w:rPr>
        <w:t xml:space="preserve"> </w:t>
      </w:r>
      <w:r w:rsidRPr="090C4359" w:rsidR="00162084">
        <w:rPr>
          <w:rFonts w:asciiTheme="minorHAnsi" w:hAnsiTheme="minorHAnsi" w:cstheme="minorBidi"/>
          <w:sz w:val="22"/>
          <w:szCs w:val="22"/>
        </w:rPr>
        <w:t>She</w:t>
      </w:r>
      <w:r w:rsidRPr="090C4359" w:rsidR="00E73461">
        <w:rPr>
          <w:rFonts w:asciiTheme="minorHAnsi" w:hAnsiTheme="minorHAnsi" w:cstheme="minorBidi"/>
          <w:sz w:val="22"/>
          <w:szCs w:val="22"/>
        </w:rPr>
        <w:t xml:space="preserve"> drew on Brierley</w:t>
      </w:r>
      <w:r w:rsidRPr="090C4359" w:rsidR="002B70F1">
        <w:rPr>
          <w:rFonts w:asciiTheme="minorHAnsi" w:hAnsiTheme="minorHAnsi" w:cstheme="minorBidi"/>
          <w:sz w:val="22"/>
          <w:szCs w:val="22"/>
        </w:rPr>
        <w:t xml:space="preserve"> et al’s</w:t>
      </w:r>
      <w:r w:rsidRPr="090C4359" w:rsidR="00E73461">
        <w:rPr>
          <w:rFonts w:asciiTheme="minorHAnsi" w:hAnsiTheme="minorHAnsi" w:cstheme="minorBidi"/>
          <w:sz w:val="22"/>
          <w:szCs w:val="22"/>
        </w:rPr>
        <w:t xml:space="preserve"> 2013</w:t>
      </w:r>
      <w:r w:rsidRPr="090C4359" w:rsidR="00B23D7F">
        <w:rPr>
          <w:rFonts w:asciiTheme="minorHAnsi" w:hAnsiTheme="minorHAnsi" w:cstheme="minorBidi"/>
          <w:sz w:val="22"/>
          <w:szCs w:val="22"/>
        </w:rPr>
        <w:t xml:space="preserve"> G</w:t>
      </w:r>
      <w:r w:rsidRPr="090C4359" w:rsidR="00D47F5D">
        <w:rPr>
          <w:rFonts w:asciiTheme="minorHAnsi" w:hAnsiTheme="minorHAnsi" w:cstheme="minorBidi"/>
          <w:sz w:val="22"/>
          <w:szCs w:val="22"/>
        </w:rPr>
        <w:t>reat Ormond Street Hospital (GOSH)</w:t>
      </w:r>
      <w:r w:rsidRPr="090C4359" w:rsidR="00E73461">
        <w:rPr>
          <w:rFonts w:asciiTheme="minorHAnsi" w:hAnsiTheme="minorHAnsi" w:cstheme="minorBidi"/>
          <w:sz w:val="22"/>
          <w:szCs w:val="22"/>
        </w:rPr>
        <w:t xml:space="preserve"> study as evidence</w:t>
      </w:r>
      <w:r w:rsidRPr="090C4359" w:rsidR="00DB0AD6">
        <w:rPr>
          <w:rFonts w:asciiTheme="minorHAnsi" w:hAnsiTheme="minorHAnsi" w:cstheme="minorBidi"/>
          <w:sz w:val="22"/>
          <w:szCs w:val="22"/>
        </w:rPr>
        <w:t xml:space="preserve"> that</w:t>
      </w:r>
      <w:r w:rsidRPr="090C4359" w:rsidR="00E73461">
        <w:rPr>
          <w:rFonts w:asciiTheme="minorHAnsi" w:hAnsiTheme="minorHAnsi" w:cstheme="minorBidi"/>
          <w:sz w:val="22"/>
          <w:szCs w:val="22"/>
        </w:rPr>
        <w:t xml:space="preserve"> it was </w:t>
      </w:r>
      <w:r w:rsidRPr="090C4359" w:rsidR="00923BC9">
        <w:rPr>
          <w:rFonts w:asciiTheme="minorHAnsi" w:hAnsiTheme="minorHAnsi" w:cstheme="minorBidi"/>
          <w:sz w:val="22"/>
          <w:szCs w:val="22"/>
        </w:rPr>
        <w:t>largely effective at doing so</w:t>
      </w:r>
      <w:r w:rsidRPr="090C4359" w:rsidR="0059529E">
        <w:rPr>
          <w:rFonts w:asciiTheme="minorHAnsi" w:hAnsiTheme="minorHAnsi" w:cstheme="minorBidi"/>
          <w:sz w:val="22"/>
          <w:szCs w:val="22"/>
        </w:rPr>
        <w:t>, with only 17 out of the 203 cases he reviewed not</w:t>
      </w:r>
      <w:r w:rsidRPr="090C4359" w:rsidR="00E44778">
        <w:rPr>
          <w:rFonts w:asciiTheme="minorHAnsi" w:hAnsiTheme="minorHAnsi" w:cstheme="minorBidi"/>
          <w:sz w:val="22"/>
          <w:szCs w:val="22"/>
        </w:rPr>
        <w:t xml:space="preserve"> being</w:t>
      </w:r>
      <w:r w:rsidRPr="090C4359" w:rsidR="0059529E">
        <w:rPr>
          <w:rFonts w:asciiTheme="minorHAnsi" w:hAnsiTheme="minorHAnsi" w:cstheme="minorBidi"/>
          <w:sz w:val="22"/>
          <w:szCs w:val="22"/>
        </w:rPr>
        <w:t xml:space="preserve"> resolved by discussion.</w:t>
      </w:r>
      <w:r w:rsidRPr="090C4359" w:rsidR="00873BD9">
        <w:rPr>
          <w:rStyle w:val="FootnoteReference"/>
          <w:rFonts w:asciiTheme="minorHAnsi" w:hAnsiTheme="minorHAnsi" w:cstheme="minorBidi"/>
          <w:sz w:val="22"/>
          <w:szCs w:val="22"/>
        </w:rPr>
        <w:footnoteReference w:id="243"/>
      </w:r>
      <w:r w:rsidRPr="090C4359" w:rsidR="00923BC9">
        <w:rPr>
          <w:rFonts w:asciiTheme="minorHAnsi" w:hAnsiTheme="minorHAnsi" w:cstheme="minorBidi"/>
          <w:sz w:val="22"/>
          <w:szCs w:val="22"/>
        </w:rPr>
        <w:t xml:space="preserve"> </w:t>
      </w:r>
      <w:r w:rsidRPr="090C4359" w:rsidR="005B7C2A">
        <w:rPr>
          <w:rFonts w:asciiTheme="minorHAnsi" w:hAnsiTheme="minorHAnsi" w:cstheme="minorBidi"/>
          <w:sz w:val="22"/>
          <w:szCs w:val="22"/>
        </w:rPr>
        <w:t>More recently,</w:t>
      </w:r>
      <w:r w:rsidRPr="090C4359" w:rsidR="00C775C6">
        <w:rPr>
          <w:rFonts w:asciiTheme="minorHAnsi" w:hAnsiTheme="minorHAnsi" w:cstheme="minorBidi"/>
          <w:sz w:val="22"/>
          <w:szCs w:val="22"/>
        </w:rPr>
        <w:t xml:space="preserve"> Archambault-Grenier et al’s</w:t>
      </w:r>
      <w:r w:rsidRPr="090C4359" w:rsidR="009F1793">
        <w:rPr>
          <w:rFonts w:asciiTheme="minorHAnsi" w:hAnsiTheme="minorHAnsi" w:cstheme="minorBidi"/>
          <w:sz w:val="22"/>
          <w:szCs w:val="22"/>
        </w:rPr>
        <w:t xml:space="preserve"> large-scale Canadian</w:t>
      </w:r>
      <w:r w:rsidRPr="090C4359" w:rsidR="00C775C6">
        <w:rPr>
          <w:rFonts w:asciiTheme="minorHAnsi" w:hAnsiTheme="minorHAnsi" w:cstheme="minorBidi"/>
          <w:sz w:val="22"/>
          <w:szCs w:val="22"/>
        </w:rPr>
        <w:t xml:space="preserve"> study</w:t>
      </w:r>
      <w:r w:rsidRPr="090C4359" w:rsidR="00AA3E95">
        <w:rPr>
          <w:rFonts w:asciiTheme="minorHAnsi" w:hAnsiTheme="minorHAnsi" w:cstheme="minorBidi"/>
          <w:sz w:val="22"/>
          <w:szCs w:val="22"/>
        </w:rPr>
        <w:t xml:space="preserve"> focusing on the 341 respond</w:t>
      </w:r>
      <w:r w:rsidRPr="090C4359" w:rsidR="009344CD">
        <w:rPr>
          <w:rFonts w:asciiTheme="minorHAnsi" w:hAnsiTheme="minorHAnsi" w:cstheme="minorBidi"/>
          <w:sz w:val="22"/>
          <w:szCs w:val="22"/>
        </w:rPr>
        <w:t>e</w:t>
      </w:r>
      <w:r w:rsidRPr="090C4359" w:rsidR="00AA3E95">
        <w:rPr>
          <w:rFonts w:asciiTheme="minorHAnsi" w:hAnsiTheme="minorHAnsi" w:cstheme="minorBidi"/>
          <w:sz w:val="22"/>
          <w:szCs w:val="22"/>
        </w:rPr>
        <w:t>nts</w:t>
      </w:r>
      <w:r w:rsidRPr="090C4359" w:rsidR="009344CD">
        <w:rPr>
          <w:rFonts w:asciiTheme="minorHAnsi" w:hAnsiTheme="minorHAnsi" w:cstheme="minorBidi"/>
          <w:sz w:val="22"/>
          <w:szCs w:val="22"/>
        </w:rPr>
        <w:t xml:space="preserve"> who had experienced end-of-life conflict in the last 5 years,</w:t>
      </w:r>
      <w:r w:rsidRPr="090C4359" w:rsidR="00C775C6">
        <w:rPr>
          <w:rFonts w:asciiTheme="minorHAnsi" w:hAnsiTheme="minorHAnsi" w:cstheme="minorBidi"/>
          <w:sz w:val="22"/>
          <w:szCs w:val="22"/>
        </w:rPr>
        <w:t xml:space="preserve"> demonstrated that </w:t>
      </w:r>
      <w:r w:rsidRPr="090C4359" w:rsidR="00E8713C">
        <w:rPr>
          <w:rFonts w:asciiTheme="minorHAnsi" w:hAnsiTheme="minorHAnsi" w:cstheme="minorBidi"/>
          <w:sz w:val="22"/>
          <w:szCs w:val="22"/>
        </w:rPr>
        <w:t>‘negotiating with parents’ was the most commonly used strategy</w:t>
      </w:r>
      <w:r w:rsidRPr="090C4359" w:rsidR="00B16107">
        <w:rPr>
          <w:rFonts w:asciiTheme="minorHAnsi" w:hAnsiTheme="minorHAnsi" w:cstheme="minorBidi"/>
          <w:sz w:val="22"/>
          <w:szCs w:val="22"/>
        </w:rPr>
        <w:t xml:space="preserve"> by healthcare professionals to deal with conflict (74% of</w:t>
      </w:r>
      <w:r w:rsidRPr="090C4359" w:rsidR="000A1A22">
        <w:rPr>
          <w:rFonts w:asciiTheme="minorHAnsi" w:hAnsiTheme="minorHAnsi" w:cstheme="minorBidi"/>
          <w:sz w:val="22"/>
          <w:szCs w:val="22"/>
        </w:rPr>
        <w:t xml:space="preserve"> the </w:t>
      </w:r>
      <w:r w:rsidRPr="090C4359" w:rsidR="004A4C02">
        <w:rPr>
          <w:rFonts w:asciiTheme="minorHAnsi" w:hAnsiTheme="minorHAnsi" w:cstheme="minorBidi"/>
          <w:sz w:val="22"/>
          <w:szCs w:val="22"/>
        </w:rPr>
        <w:t>291</w:t>
      </w:r>
      <w:r w:rsidRPr="090C4359" w:rsidR="00B16107">
        <w:rPr>
          <w:rFonts w:asciiTheme="minorHAnsi" w:hAnsiTheme="minorHAnsi" w:cstheme="minorBidi"/>
          <w:sz w:val="22"/>
          <w:szCs w:val="22"/>
        </w:rPr>
        <w:t xml:space="preserve"> respond</w:t>
      </w:r>
      <w:r w:rsidRPr="090C4359" w:rsidR="00B3703A">
        <w:rPr>
          <w:rFonts w:asciiTheme="minorHAnsi" w:hAnsiTheme="minorHAnsi" w:cstheme="minorBidi"/>
          <w:sz w:val="22"/>
          <w:szCs w:val="22"/>
        </w:rPr>
        <w:t>e</w:t>
      </w:r>
      <w:r w:rsidRPr="090C4359" w:rsidR="00B16107">
        <w:rPr>
          <w:rFonts w:asciiTheme="minorHAnsi" w:hAnsiTheme="minorHAnsi" w:cstheme="minorBidi"/>
          <w:sz w:val="22"/>
          <w:szCs w:val="22"/>
        </w:rPr>
        <w:t>nts</w:t>
      </w:r>
      <w:r w:rsidRPr="090C4359" w:rsidR="004339CE">
        <w:rPr>
          <w:rFonts w:asciiTheme="minorHAnsi" w:hAnsiTheme="minorHAnsi" w:cstheme="minorBidi"/>
          <w:sz w:val="22"/>
          <w:szCs w:val="22"/>
        </w:rPr>
        <w:t xml:space="preserve"> who </w:t>
      </w:r>
      <w:r w:rsidRPr="090C4359" w:rsidR="004A4C02">
        <w:rPr>
          <w:rFonts w:asciiTheme="minorHAnsi" w:hAnsiTheme="minorHAnsi" w:cstheme="minorBidi"/>
          <w:sz w:val="22"/>
          <w:szCs w:val="22"/>
        </w:rPr>
        <w:t>answered the question</w:t>
      </w:r>
      <w:r w:rsidRPr="090C4359" w:rsidR="001A3E35">
        <w:rPr>
          <w:rFonts w:asciiTheme="minorHAnsi" w:hAnsiTheme="minorHAnsi" w:cstheme="minorBidi"/>
          <w:sz w:val="22"/>
          <w:szCs w:val="22"/>
        </w:rPr>
        <w:t>)</w:t>
      </w:r>
      <w:r w:rsidRPr="090C4359" w:rsidR="00B16107">
        <w:rPr>
          <w:rFonts w:asciiTheme="minorHAnsi" w:hAnsiTheme="minorHAnsi" w:cstheme="minorBidi"/>
          <w:sz w:val="22"/>
          <w:szCs w:val="22"/>
        </w:rPr>
        <w:t xml:space="preserve">, </w:t>
      </w:r>
      <w:r w:rsidRPr="090C4359" w:rsidR="005B6375">
        <w:rPr>
          <w:rFonts w:asciiTheme="minorHAnsi" w:hAnsiTheme="minorHAnsi" w:cstheme="minorBidi"/>
          <w:sz w:val="22"/>
          <w:szCs w:val="22"/>
        </w:rPr>
        <w:t>but with l</w:t>
      </w:r>
      <w:r w:rsidRPr="090C4359" w:rsidR="00A47C21">
        <w:rPr>
          <w:rFonts w:asciiTheme="minorHAnsi" w:hAnsiTheme="minorHAnsi" w:cstheme="minorBidi"/>
          <w:sz w:val="22"/>
          <w:szCs w:val="22"/>
        </w:rPr>
        <w:t>ess conciliatory methods such as ‘attempting to convince the fa</w:t>
      </w:r>
      <w:r w:rsidRPr="090C4359" w:rsidR="009F1793">
        <w:rPr>
          <w:rFonts w:asciiTheme="minorHAnsi" w:hAnsiTheme="minorHAnsi" w:cstheme="minorBidi"/>
          <w:sz w:val="22"/>
          <w:szCs w:val="22"/>
        </w:rPr>
        <w:t>mily’</w:t>
      </w:r>
      <w:r w:rsidRPr="090C4359" w:rsidR="00A47C21">
        <w:rPr>
          <w:rFonts w:asciiTheme="minorHAnsi" w:hAnsiTheme="minorHAnsi" w:cstheme="minorBidi"/>
          <w:sz w:val="22"/>
          <w:szCs w:val="22"/>
        </w:rPr>
        <w:t xml:space="preserve"> or ‘</w:t>
      </w:r>
      <w:r w:rsidRPr="090C4359" w:rsidR="00D461A0">
        <w:rPr>
          <w:rFonts w:asciiTheme="minorHAnsi" w:hAnsiTheme="minorHAnsi" w:cstheme="minorBidi"/>
          <w:sz w:val="22"/>
          <w:szCs w:val="22"/>
        </w:rPr>
        <w:t xml:space="preserve">informing and </w:t>
      </w:r>
      <w:r w:rsidRPr="090C4359" w:rsidR="00A47C21">
        <w:rPr>
          <w:rFonts w:asciiTheme="minorHAnsi" w:hAnsiTheme="minorHAnsi" w:cstheme="minorBidi"/>
          <w:sz w:val="22"/>
          <w:szCs w:val="22"/>
        </w:rPr>
        <w:t xml:space="preserve">educating the </w:t>
      </w:r>
      <w:r w:rsidRPr="090C4359" w:rsidR="00D461A0">
        <w:rPr>
          <w:rFonts w:asciiTheme="minorHAnsi" w:hAnsiTheme="minorHAnsi" w:cstheme="minorBidi"/>
          <w:sz w:val="22"/>
          <w:szCs w:val="22"/>
        </w:rPr>
        <w:t>parents</w:t>
      </w:r>
      <w:r w:rsidRPr="090C4359" w:rsidR="00A47C21">
        <w:rPr>
          <w:rFonts w:asciiTheme="minorHAnsi" w:hAnsiTheme="minorHAnsi" w:cstheme="minorBidi"/>
          <w:sz w:val="22"/>
          <w:szCs w:val="22"/>
        </w:rPr>
        <w:t>’ being used by over 40%.</w:t>
      </w:r>
      <w:r w:rsidRPr="090C4359" w:rsidR="00AC6731">
        <w:rPr>
          <w:rStyle w:val="FootnoteReference"/>
          <w:rFonts w:asciiTheme="minorHAnsi" w:hAnsiTheme="minorHAnsi" w:cstheme="minorBidi"/>
          <w:sz w:val="22"/>
          <w:szCs w:val="22"/>
        </w:rPr>
        <w:footnoteReference w:id="244"/>
      </w:r>
      <w:r w:rsidRPr="090C4359" w:rsidR="005B7C2A">
        <w:rPr>
          <w:rFonts w:asciiTheme="minorHAnsi" w:hAnsiTheme="minorHAnsi" w:cstheme="minorBidi"/>
          <w:sz w:val="22"/>
          <w:szCs w:val="22"/>
        </w:rPr>
        <w:t xml:space="preserve"> Mooney-Doyle and Ulrich</w:t>
      </w:r>
      <w:r w:rsidRPr="090C4359" w:rsidR="00711647">
        <w:rPr>
          <w:rFonts w:asciiTheme="minorHAnsi" w:hAnsiTheme="minorHAnsi" w:cstheme="minorBidi"/>
          <w:sz w:val="22"/>
          <w:szCs w:val="22"/>
        </w:rPr>
        <w:t xml:space="preserve"> examine studies </w:t>
      </w:r>
      <w:r w:rsidRPr="090C4359" w:rsidR="00281660">
        <w:rPr>
          <w:rFonts w:asciiTheme="minorHAnsi" w:hAnsiTheme="minorHAnsi" w:cstheme="minorBidi"/>
          <w:sz w:val="22"/>
          <w:szCs w:val="22"/>
        </w:rPr>
        <w:t>that</w:t>
      </w:r>
      <w:r w:rsidRPr="090C4359" w:rsidR="00711647">
        <w:rPr>
          <w:rFonts w:asciiTheme="minorHAnsi" w:hAnsiTheme="minorHAnsi" w:cstheme="minorBidi"/>
          <w:sz w:val="22"/>
          <w:szCs w:val="22"/>
        </w:rPr>
        <w:t xml:space="preserve"> show that</w:t>
      </w:r>
      <w:r w:rsidRPr="090C4359" w:rsidR="00281660">
        <w:rPr>
          <w:rFonts w:asciiTheme="minorHAnsi" w:hAnsiTheme="minorHAnsi" w:cstheme="minorBidi"/>
          <w:sz w:val="22"/>
          <w:szCs w:val="22"/>
        </w:rPr>
        <w:t xml:space="preserve"> </w:t>
      </w:r>
      <w:r w:rsidRPr="090C4359" w:rsidR="00711647">
        <w:rPr>
          <w:rFonts w:asciiTheme="minorHAnsi" w:hAnsiTheme="minorHAnsi" w:cstheme="minorBidi"/>
          <w:sz w:val="22"/>
          <w:szCs w:val="22"/>
        </w:rPr>
        <w:t>parents want ‘honest and compassionate communication’ and value</w:t>
      </w:r>
      <w:r w:rsidRPr="090C4359" w:rsidR="00D82C33">
        <w:rPr>
          <w:rFonts w:asciiTheme="minorHAnsi" w:hAnsiTheme="minorHAnsi" w:cstheme="minorBidi"/>
          <w:sz w:val="22"/>
          <w:szCs w:val="22"/>
        </w:rPr>
        <w:t xml:space="preserve"> access to information</w:t>
      </w:r>
      <w:r w:rsidRPr="090C4359" w:rsidR="00152AB4">
        <w:rPr>
          <w:rFonts w:asciiTheme="minorHAnsi" w:hAnsiTheme="minorHAnsi" w:cstheme="minorBidi"/>
          <w:sz w:val="22"/>
          <w:szCs w:val="22"/>
        </w:rPr>
        <w:t xml:space="preserve"> and positive relationships with healthcare professionals.</w:t>
      </w:r>
      <w:r w:rsidRPr="090C4359" w:rsidR="005B7C2A">
        <w:rPr>
          <w:rFonts w:asciiTheme="minorHAnsi" w:hAnsiTheme="minorHAnsi" w:cstheme="minorBidi"/>
          <w:sz w:val="22"/>
          <w:szCs w:val="22"/>
        </w:rPr>
        <w:t xml:space="preserve"> </w:t>
      </w:r>
      <w:r w:rsidRPr="090C4359" w:rsidR="00152AB4">
        <w:rPr>
          <w:rStyle w:val="FootnoteReference"/>
          <w:rFonts w:asciiTheme="minorHAnsi" w:hAnsiTheme="minorHAnsi" w:cstheme="minorBidi"/>
          <w:sz w:val="22"/>
          <w:szCs w:val="22"/>
        </w:rPr>
        <w:footnoteReference w:id="245"/>
      </w:r>
    </w:p>
    <w:p w:rsidRPr="00763E94" w:rsidR="00DC0824" w:rsidP="00730716" w:rsidRDefault="00DC0824" w14:paraId="542B585F" w14:textId="77777777">
      <w:pPr>
        <w:pStyle w:val="Normal0"/>
        <w:rPr>
          <w:rFonts w:asciiTheme="minorHAnsi" w:hAnsiTheme="minorHAnsi" w:cstheme="minorHAnsi"/>
          <w:sz w:val="22"/>
          <w:szCs w:val="22"/>
        </w:rPr>
      </w:pPr>
    </w:p>
    <w:p w:rsidRPr="00763E94" w:rsidR="00FC3E5A" w:rsidP="003768ED" w:rsidRDefault="00C75B6A" w14:paraId="03E7CE42" w14:textId="18DF77B8">
      <w:pPr>
        <w:pStyle w:val="Normal0"/>
        <w:numPr>
          <w:ilvl w:val="0"/>
          <w:numId w:val="2"/>
        </w:numPr>
        <w:jc w:val="both"/>
        <w:rPr>
          <w:rFonts w:cstheme="minorHAnsi"/>
          <w:sz w:val="22"/>
          <w:szCs w:val="22"/>
        </w:rPr>
      </w:pPr>
      <w:r w:rsidRPr="090C4359">
        <w:rPr>
          <w:rFonts w:asciiTheme="minorHAnsi" w:hAnsiTheme="minorHAnsi" w:cstheme="minorBidi"/>
          <w:sz w:val="22"/>
          <w:szCs w:val="22"/>
        </w:rPr>
        <w:t>R</w:t>
      </w:r>
      <w:r w:rsidRPr="090C4359" w:rsidR="00DC0824">
        <w:rPr>
          <w:rFonts w:asciiTheme="minorHAnsi" w:hAnsiTheme="minorHAnsi" w:cstheme="minorBidi"/>
          <w:sz w:val="22"/>
          <w:szCs w:val="22"/>
        </w:rPr>
        <w:t>ecent thinking has questioned the</w:t>
      </w:r>
      <w:r w:rsidRPr="090C4359" w:rsidR="001B3FA1">
        <w:rPr>
          <w:rFonts w:asciiTheme="minorHAnsi" w:hAnsiTheme="minorHAnsi" w:cstheme="minorBidi"/>
          <w:sz w:val="22"/>
          <w:szCs w:val="22"/>
        </w:rPr>
        <w:t xml:space="preserve"> avoidance of disagreement as the aim of discussion.</w:t>
      </w:r>
      <w:r w:rsidRPr="090C4359" w:rsidR="00981E4D">
        <w:rPr>
          <w:rFonts w:asciiTheme="minorHAnsi" w:hAnsiTheme="minorHAnsi" w:cstheme="minorBidi"/>
          <w:sz w:val="22"/>
          <w:szCs w:val="22"/>
        </w:rPr>
        <w:t xml:space="preserve"> Given, that many of the most challenging decisions about critically</w:t>
      </w:r>
      <w:r w:rsidRPr="090C4359" w:rsidR="00DB2C11">
        <w:rPr>
          <w:rFonts w:asciiTheme="minorHAnsi" w:hAnsiTheme="minorHAnsi" w:cstheme="minorBidi"/>
          <w:sz w:val="22"/>
          <w:szCs w:val="22"/>
        </w:rPr>
        <w:t>-</w:t>
      </w:r>
      <w:r w:rsidRPr="090C4359" w:rsidR="00981E4D">
        <w:rPr>
          <w:rFonts w:asciiTheme="minorHAnsi" w:hAnsiTheme="minorHAnsi" w:cstheme="minorBidi"/>
          <w:sz w:val="22"/>
          <w:szCs w:val="22"/>
        </w:rPr>
        <w:t xml:space="preserve">ill children involve </w:t>
      </w:r>
      <w:r w:rsidRPr="090C4359" w:rsidR="00DB3594">
        <w:rPr>
          <w:rFonts w:asciiTheme="minorHAnsi" w:hAnsiTheme="minorHAnsi" w:cstheme="minorBidi"/>
          <w:sz w:val="22"/>
          <w:szCs w:val="22"/>
        </w:rPr>
        <w:t xml:space="preserve">differences about values, and not just medical facts, Auckland and Goold </w:t>
      </w:r>
      <w:r w:rsidRPr="090C4359" w:rsidR="00AE3643">
        <w:rPr>
          <w:rFonts w:asciiTheme="minorHAnsi" w:hAnsiTheme="minorHAnsi" w:cstheme="minorBidi"/>
          <w:sz w:val="22"/>
          <w:szCs w:val="22"/>
        </w:rPr>
        <w:t>point out that</w:t>
      </w:r>
      <w:r w:rsidRPr="090C4359" w:rsidR="00D10F2B">
        <w:rPr>
          <w:rFonts w:asciiTheme="minorHAnsi" w:hAnsiTheme="minorHAnsi" w:cstheme="minorBidi"/>
          <w:sz w:val="22"/>
          <w:szCs w:val="22"/>
        </w:rPr>
        <w:t xml:space="preserve"> </w:t>
      </w:r>
      <w:r w:rsidRPr="090C4359" w:rsidR="00A319D3">
        <w:rPr>
          <w:rFonts w:asciiTheme="minorHAnsi" w:hAnsiTheme="minorHAnsi" w:cstheme="minorBidi"/>
          <w:sz w:val="22"/>
          <w:szCs w:val="22"/>
        </w:rPr>
        <w:t xml:space="preserve">that </w:t>
      </w:r>
      <w:r w:rsidRPr="090C4359" w:rsidR="003C3CD9">
        <w:rPr>
          <w:rFonts w:asciiTheme="minorHAnsi" w:hAnsiTheme="minorHAnsi" w:cstheme="minorBidi"/>
          <w:sz w:val="22"/>
          <w:szCs w:val="22"/>
        </w:rPr>
        <w:t>‘</w:t>
      </w:r>
      <w:r w:rsidRPr="090C4359" w:rsidR="00FC3E5A">
        <w:rPr>
          <w:rFonts w:asciiTheme="minorHAnsi" w:hAnsiTheme="minorHAnsi" w:cstheme="minorBidi"/>
          <w:sz w:val="22"/>
          <w:szCs w:val="22"/>
        </w:rPr>
        <w:t>in a liberal democracy committed to religious freedom and tolerance, it is crucial that we leave space for people to disagree.</w:t>
      </w:r>
      <w:r w:rsidRPr="090C4359" w:rsidR="003C3CD9">
        <w:rPr>
          <w:rFonts w:asciiTheme="minorHAnsi" w:hAnsiTheme="minorHAnsi" w:cstheme="minorBidi"/>
          <w:sz w:val="22"/>
          <w:szCs w:val="22"/>
        </w:rPr>
        <w:t>’</w:t>
      </w:r>
      <w:r w:rsidRPr="090C4359" w:rsidR="003C3CD9">
        <w:rPr>
          <w:rStyle w:val="FootnoteReference"/>
          <w:rFonts w:asciiTheme="minorHAnsi" w:hAnsiTheme="minorHAnsi" w:cstheme="minorBidi"/>
          <w:sz w:val="22"/>
          <w:szCs w:val="22"/>
        </w:rPr>
        <w:footnoteReference w:id="246"/>
      </w:r>
      <w:r w:rsidRPr="090C4359" w:rsidR="00FC3E5A">
        <w:rPr>
          <w:rFonts w:asciiTheme="minorHAnsi" w:hAnsiTheme="minorHAnsi" w:cstheme="minorBidi"/>
          <w:sz w:val="22"/>
          <w:szCs w:val="22"/>
        </w:rPr>
        <w:t xml:space="preserve"> Wilkinson and Savulescu </w:t>
      </w:r>
      <w:r w:rsidRPr="090C4359" w:rsidR="0043010F">
        <w:rPr>
          <w:rFonts w:asciiTheme="minorHAnsi" w:hAnsiTheme="minorHAnsi" w:cstheme="minorBidi"/>
          <w:sz w:val="22"/>
          <w:szCs w:val="22"/>
        </w:rPr>
        <w:t xml:space="preserve">go further in </w:t>
      </w:r>
      <w:r w:rsidRPr="090C4359" w:rsidR="00B66DD4">
        <w:rPr>
          <w:rFonts w:asciiTheme="minorHAnsi" w:hAnsiTheme="minorHAnsi" w:cstheme="minorBidi"/>
          <w:sz w:val="22"/>
          <w:szCs w:val="22"/>
        </w:rPr>
        <w:t>claiming</w:t>
      </w:r>
      <w:r w:rsidRPr="090C4359" w:rsidR="0043010F">
        <w:rPr>
          <w:rFonts w:asciiTheme="minorHAnsi" w:hAnsiTheme="minorHAnsi" w:cstheme="minorBidi"/>
          <w:sz w:val="22"/>
          <w:szCs w:val="22"/>
        </w:rPr>
        <w:t xml:space="preserve"> that</w:t>
      </w:r>
      <w:r w:rsidRPr="090C4359" w:rsidR="00BA669B">
        <w:rPr>
          <w:rFonts w:asciiTheme="minorHAnsi" w:hAnsiTheme="minorHAnsi" w:cstheme="minorBidi"/>
          <w:sz w:val="22"/>
          <w:szCs w:val="22"/>
        </w:rPr>
        <w:t xml:space="preserve"> disagreement</w:t>
      </w:r>
      <w:r w:rsidRPr="090C4359" w:rsidR="00712359">
        <w:rPr>
          <w:rFonts w:asciiTheme="minorHAnsi" w:hAnsiTheme="minorHAnsi" w:cstheme="minorBidi"/>
          <w:sz w:val="22"/>
          <w:szCs w:val="22"/>
        </w:rPr>
        <w:t xml:space="preserve"> should</w:t>
      </w:r>
      <w:r w:rsidRPr="090C4359" w:rsidR="00BA669B">
        <w:rPr>
          <w:rFonts w:asciiTheme="minorHAnsi" w:hAnsiTheme="minorHAnsi" w:cstheme="minorBidi"/>
          <w:sz w:val="22"/>
          <w:szCs w:val="22"/>
        </w:rPr>
        <w:t xml:space="preserve"> not just</w:t>
      </w:r>
      <w:r w:rsidRPr="090C4359" w:rsidR="00712359">
        <w:rPr>
          <w:rFonts w:asciiTheme="minorHAnsi" w:hAnsiTheme="minorHAnsi" w:cstheme="minorBidi"/>
          <w:sz w:val="22"/>
          <w:szCs w:val="22"/>
        </w:rPr>
        <w:t xml:space="preserve"> be tolerated</w:t>
      </w:r>
      <w:r w:rsidRPr="090C4359" w:rsidR="00B113C4">
        <w:rPr>
          <w:rFonts w:asciiTheme="minorHAnsi" w:hAnsiTheme="minorHAnsi" w:cstheme="minorBidi"/>
          <w:sz w:val="22"/>
          <w:szCs w:val="22"/>
        </w:rPr>
        <w:t>,</w:t>
      </w:r>
      <w:r w:rsidRPr="090C4359" w:rsidR="00712359">
        <w:rPr>
          <w:rFonts w:asciiTheme="minorHAnsi" w:hAnsiTheme="minorHAnsi" w:cstheme="minorBidi"/>
          <w:sz w:val="22"/>
          <w:szCs w:val="22"/>
        </w:rPr>
        <w:t xml:space="preserve"> but celebrated</w:t>
      </w:r>
      <w:r w:rsidRPr="090C4359" w:rsidR="00B113C4">
        <w:rPr>
          <w:rFonts w:asciiTheme="minorHAnsi" w:hAnsiTheme="minorHAnsi" w:cstheme="minorBidi"/>
          <w:sz w:val="22"/>
          <w:szCs w:val="22"/>
        </w:rPr>
        <w:t>;</w:t>
      </w:r>
      <w:r w:rsidRPr="090C4359" w:rsidR="00DB31CC">
        <w:rPr>
          <w:rFonts w:asciiTheme="minorHAnsi" w:hAnsiTheme="minorHAnsi" w:cstheme="minorBidi"/>
          <w:sz w:val="22"/>
          <w:szCs w:val="22"/>
        </w:rPr>
        <w:t xml:space="preserve"> </w:t>
      </w:r>
      <w:r w:rsidRPr="090C4359" w:rsidR="00FC3E5A">
        <w:rPr>
          <w:rFonts w:asciiTheme="minorHAnsi" w:hAnsiTheme="minorHAnsi" w:cstheme="minorBidi"/>
          <w:sz w:val="22"/>
          <w:szCs w:val="22"/>
        </w:rPr>
        <w:t>‘</w:t>
      </w:r>
      <w:r w:rsidRPr="090C4359" w:rsidR="00DB31CC">
        <w:rPr>
          <w:rFonts w:asciiTheme="minorHAnsi" w:hAnsiTheme="minorHAnsi" w:cstheme="minorBidi"/>
          <w:sz w:val="22"/>
          <w:szCs w:val="22"/>
        </w:rPr>
        <w:t xml:space="preserve"> (…)</w:t>
      </w:r>
      <w:r w:rsidRPr="090C4359" w:rsidR="00FC3E5A">
        <w:rPr>
          <w:rFonts w:asciiTheme="minorHAnsi" w:hAnsiTheme="minorHAnsi" w:cstheme="minorBidi"/>
          <w:sz w:val="22"/>
          <w:szCs w:val="22"/>
        </w:rPr>
        <w:t xml:space="preserve"> in a sense, disagreement is a good thing – it is a sign of a pluralistic and tolerant society’</w:t>
      </w:r>
      <w:r w:rsidRPr="090C4359" w:rsidR="00DB31CC">
        <w:rPr>
          <w:rFonts w:asciiTheme="minorHAnsi" w:hAnsiTheme="minorHAnsi" w:cstheme="minorBidi"/>
          <w:sz w:val="22"/>
          <w:szCs w:val="22"/>
        </w:rPr>
        <w:t>.</w:t>
      </w:r>
      <w:r w:rsidRPr="090C4359" w:rsidR="00DB31CC">
        <w:rPr>
          <w:rStyle w:val="FootnoteReference"/>
          <w:rFonts w:asciiTheme="minorHAnsi" w:hAnsiTheme="minorHAnsi" w:cstheme="minorBidi"/>
          <w:sz w:val="22"/>
          <w:szCs w:val="22"/>
        </w:rPr>
        <w:footnoteReference w:id="247"/>
      </w:r>
      <w:r w:rsidRPr="090C4359" w:rsidR="00D86840">
        <w:rPr>
          <w:rFonts w:asciiTheme="minorHAnsi" w:hAnsiTheme="minorHAnsi" w:cstheme="minorBidi"/>
          <w:sz w:val="22"/>
          <w:szCs w:val="22"/>
        </w:rPr>
        <w:t xml:space="preserve"> They also question the consensus</w:t>
      </w:r>
      <w:r w:rsidRPr="090C4359" w:rsidR="00D86840">
        <w:rPr>
          <w:rFonts w:asciiTheme="minorHAnsi" w:hAnsiTheme="minorHAnsi" w:cstheme="minorBidi"/>
        </w:rPr>
        <w:t xml:space="preserve"> </w:t>
      </w:r>
      <w:r w:rsidRPr="090C4359" w:rsidR="00D86840">
        <w:rPr>
          <w:rFonts w:asciiTheme="minorHAnsi" w:hAnsiTheme="minorHAnsi" w:cstheme="minorBidi"/>
          <w:sz w:val="22"/>
          <w:szCs w:val="22"/>
        </w:rPr>
        <w:t xml:space="preserve">model for professionals, asserting that </w:t>
      </w:r>
      <w:r w:rsidRPr="090C4359" w:rsidR="00327D4C">
        <w:rPr>
          <w:rFonts w:asciiTheme="minorHAnsi" w:hAnsiTheme="minorHAnsi" w:cstheme="minorBidi"/>
          <w:sz w:val="22"/>
          <w:szCs w:val="22"/>
        </w:rPr>
        <w:t>if unanimity</w:t>
      </w:r>
      <w:r w:rsidRPr="090C4359" w:rsidR="00B66DD4">
        <w:rPr>
          <w:rFonts w:asciiTheme="minorHAnsi" w:hAnsiTheme="minorHAnsi" w:cstheme="minorBidi"/>
          <w:sz w:val="22"/>
          <w:szCs w:val="22"/>
        </w:rPr>
        <w:t>,</w:t>
      </w:r>
      <w:r w:rsidRPr="090C4359" w:rsidR="00327D4C">
        <w:rPr>
          <w:rFonts w:asciiTheme="minorHAnsi" w:hAnsiTheme="minorHAnsi" w:cstheme="minorBidi"/>
          <w:sz w:val="22"/>
          <w:szCs w:val="22"/>
        </w:rPr>
        <w:t xml:space="preserve"> or even a majority view</w:t>
      </w:r>
      <w:r w:rsidRPr="090C4359" w:rsidR="00B66DD4">
        <w:rPr>
          <w:rFonts w:asciiTheme="minorHAnsi" w:hAnsiTheme="minorHAnsi" w:cstheme="minorBidi"/>
          <w:sz w:val="22"/>
          <w:szCs w:val="22"/>
        </w:rPr>
        <w:t>,</w:t>
      </w:r>
      <w:r w:rsidRPr="090C4359" w:rsidR="00327D4C">
        <w:rPr>
          <w:rFonts w:asciiTheme="minorHAnsi" w:hAnsiTheme="minorHAnsi" w:cstheme="minorBidi"/>
          <w:sz w:val="22"/>
          <w:szCs w:val="22"/>
        </w:rPr>
        <w:t xml:space="preserve"> is needed that ‘end</w:t>
      </w:r>
      <w:r w:rsidRPr="090C4359" w:rsidR="002F5C69">
        <w:rPr>
          <w:rFonts w:asciiTheme="minorHAnsi" w:hAnsiTheme="minorHAnsi" w:cstheme="minorBidi"/>
          <w:sz w:val="22"/>
          <w:szCs w:val="22"/>
        </w:rPr>
        <w:t>-</w:t>
      </w:r>
      <w:r w:rsidRPr="090C4359" w:rsidR="00327D4C">
        <w:rPr>
          <w:rFonts w:asciiTheme="minorHAnsi" w:hAnsiTheme="minorHAnsi" w:cstheme="minorBidi"/>
          <w:sz w:val="22"/>
          <w:szCs w:val="22"/>
        </w:rPr>
        <w:t>of</w:t>
      </w:r>
      <w:r w:rsidRPr="090C4359" w:rsidR="002F5C69">
        <w:rPr>
          <w:rFonts w:asciiTheme="minorHAnsi" w:hAnsiTheme="minorHAnsi" w:cstheme="minorBidi"/>
          <w:sz w:val="22"/>
          <w:szCs w:val="22"/>
        </w:rPr>
        <w:t>-</w:t>
      </w:r>
      <w:r w:rsidRPr="090C4359" w:rsidR="00327D4C">
        <w:rPr>
          <w:rFonts w:asciiTheme="minorHAnsi" w:hAnsiTheme="minorHAnsi" w:cstheme="minorBidi"/>
          <w:sz w:val="22"/>
          <w:szCs w:val="22"/>
        </w:rPr>
        <w:t>life decisions</w:t>
      </w:r>
      <w:r w:rsidRPr="090C4359" w:rsidR="000334CF">
        <w:rPr>
          <w:rFonts w:asciiTheme="minorHAnsi" w:hAnsiTheme="minorHAnsi" w:cstheme="minorBidi"/>
          <w:sz w:val="22"/>
          <w:szCs w:val="22"/>
        </w:rPr>
        <w:t xml:space="preserve"> could be held hostage by the most conservative or cautious decision-maker’</w:t>
      </w:r>
      <w:r w:rsidRPr="090C4359" w:rsidR="00EF53CF">
        <w:rPr>
          <w:rFonts w:asciiTheme="minorHAnsi" w:hAnsiTheme="minorHAnsi" w:cstheme="minorBidi"/>
          <w:sz w:val="22"/>
          <w:szCs w:val="22"/>
        </w:rPr>
        <w:t xml:space="preserve">, and </w:t>
      </w:r>
      <w:r w:rsidRPr="090C4359" w:rsidR="008E250A">
        <w:rPr>
          <w:rFonts w:asciiTheme="minorHAnsi" w:hAnsiTheme="minorHAnsi" w:cstheme="minorBidi"/>
          <w:sz w:val="22"/>
          <w:szCs w:val="22"/>
        </w:rPr>
        <w:t>that instead professionals should acknowledge and accept disagreement.</w:t>
      </w:r>
      <w:r w:rsidRPr="090C4359" w:rsidR="00CD6B21">
        <w:rPr>
          <w:rStyle w:val="FootnoteReference"/>
          <w:rFonts w:asciiTheme="minorHAnsi" w:hAnsiTheme="minorHAnsi" w:cstheme="minorBidi"/>
          <w:sz w:val="22"/>
          <w:szCs w:val="22"/>
        </w:rPr>
        <w:footnoteReference w:id="248"/>
      </w:r>
      <w:r w:rsidRPr="090C4359" w:rsidR="008A24FB">
        <w:rPr>
          <w:rFonts w:asciiTheme="minorHAnsi" w:hAnsiTheme="minorHAnsi" w:cstheme="minorBidi"/>
          <w:sz w:val="22"/>
          <w:szCs w:val="22"/>
        </w:rPr>
        <w:t xml:space="preserve"> They propose an alternative </w:t>
      </w:r>
      <w:r w:rsidRPr="090C4359" w:rsidR="00C3058F">
        <w:rPr>
          <w:rFonts w:asciiTheme="minorHAnsi" w:hAnsiTheme="minorHAnsi" w:cstheme="minorBidi"/>
          <w:sz w:val="22"/>
          <w:szCs w:val="22"/>
        </w:rPr>
        <w:t>“</w:t>
      </w:r>
      <w:r w:rsidRPr="090C4359" w:rsidR="008A24FB">
        <w:rPr>
          <w:rFonts w:asciiTheme="minorHAnsi" w:hAnsiTheme="minorHAnsi" w:cstheme="minorBidi"/>
          <w:sz w:val="22"/>
          <w:szCs w:val="22"/>
        </w:rPr>
        <w:t>reasonable dissensus</w:t>
      </w:r>
      <w:r w:rsidRPr="090C4359" w:rsidR="00C3058F">
        <w:rPr>
          <w:rFonts w:asciiTheme="minorHAnsi" w:hAnsiTheme="minorHAnsi" w:cstheme="minorBidi"/>
          <w:sz w:val="22"/>
          <w:szCs w:val="22"/>
        </w:rPr>
        <w:t>”</w:t>
      </w:r>
      <w:r w:rsidRPr="090C4359" w:rsidR="008A24FB">
        <w:rPr>
          <w:rFonts w:asciiTheme="minorHAnsi" w:hAnsiTheme="minorHAnsi" w:cstheme="minorBidi"/>
          <w:sz w:val="22"/>
          <w:szCs w:val="22"/>
        </w:rPr>
        <w:t xml:space="preserve"> approach</w:t>
      </w:r>
      <w:r w:rsidRPr="090C4359" w:rsidR="000F31CB">
        <w:rPr>
          <w:rFonts w:asciiTheme="minorHAnsi" w:hAnsiTheme="minorHAnsi" w:cstheme="minorBidi"/>
          <w:sz w:val="22"/>
          <w:szCs w:val="22"/>
        </w:rPr>
        <w:t>.</w:t>
      </w:r>
      <w:r w:rsidRPr="090C4359" w:rsidR="008A24FB">
        <w:rPr>
          <w:rFonts w:asciiTheme="minorHAnsi" w:hAnsiTheme="minorHAnsi" w:cstheme="minorBidi"/>
          <w:sz w:val="22"/>
          <w:szCs w:val="22"/>
        </w:rPr>
        <w:t xml:space="preserve"> </w:t>
      </w:r>
      <w:r w:rsidRPr="090C4359" w:rsidR="000F31CB">
        <w:rPr>
          <w:rFonts w:asciiTheme="minorHAnsi" w:hAnsiTheme="minorHAnsi" w:cstheme="minorBidi"/>
          <w:sz w:val="22"/>
          <w:szCs w:val="22"/>
        </w:rPr>
        <w:t>Adopting this</w:t>
      </w:r>
      <w:r w:rsidRPr="090C4359" w:rsidR="00091230">
        <w:rPr>
          <w:rFonts w:asciiTheme="minorHAnsi" w:hAnsiTheme="minorHAnsi" w:cstheme="minorBidi"/>
          <w:sz w:val="22"/>
          <w:szCs w:val="22"/>
        </w:rPr>
        <w:t xml:space="preserve"> appr</w:t>
      </w:r>
      <w:r w:rsidRPr="090C4359" w:rsidR="00E55B3F">
        <w:rPr>
          <w:rFonts w:asciiTheme="minorHAnsi" w:hAnsiTheme="minorHAnsi" w:cstheme="minorBidi"/>
          <w:sz w:val="22"/>
          <w:szCs w:val="22"/>
        </w:rPr>
        <w:t>oa</w:t>
      </w:r>
      <w:r w:rsidRPr="090C4359" w:rsidR="00091230">
        <w:rPr>
          <w:rFonts w:asciiTheme="minorHAnsi" w:hAnsiTheme="minorHAnsi" w:cstheme="minorBidi"/>
          <w:sz w:val="22"/>
          <w:szCs w:val="22"/>
        </w:rPr>
        <w:t>ch</w:t>
      </w:r>
      <w:r w:rsidRPr="090C4359" w:rsidR="008A24FB">
        <w:rPr>
          <w:rFonts w:asciiTheme="minorHAnsi" w:hAnsiTheme="minorHAnsi" w:cstheme="minorBidi"/>
          <w:sz w:val="22"/>
          <w:szCs w:val="22"/>
        </w:rPr>
        <w:t xml:space="preserve"> </w:t>
      </w:r>
      <w:r w:rsidRPr="090C4359" w:rsidR="00C3058F">
        <w:rPr>
          <w:rFonts w:asciiTheme="minorHAnsi" w:hAnsiTheme="minorHAnsi" w:cstheme="minorBidi"/>
          <w:sz w:val="22"/>
          <w:szCs w:val="22"/>
        </w:rPr>
        <w:t>would permit</w:t>
      </w:r>
      <w:r w:rsidRPr="090C4359" w:rsidR="00091230">
        <w:rPr>
          <w:rFonts w:asciiTheme="minorHAnsi" w:hAnsiTheme="minorHAnsi" w:cstheme="minorBidi"/>
          <w:sz w:val="22"/>
          <w:szCs w:val="22"/>
        </w:rPr>
        <w:t xml:space="preserve"> initiating</w:t>
      </w:r>
      <w:r w:rsidRPr="090C4359" w:rsidR="00C3058F">
        <w:rPr>
          <w:rFonts w:asciiTheme="minorHAnsi" w:hAnsiTheme="minorHAnsi" w:cstheme="minorBidi"/>
          <w:sz w:val="22"/>
          <w:szCs w:val="22"/>
        </w:rPr>
        <w:t xml:space="preserve"> </w:t>
      </w:r>
      <w:r w:rsidRPr="090C4359" w:rsidR="00F27C2C">
        <w:rPr>
          <w:rFonts w:asciiTheme="minorHAnsi" w:hAnsiTheme="minorHAnsi" w:cstheme="minorBidi"/>
          <w:sz w:val="22"/>
          <w:szCs w:val="22"/>
        </w:rPr>
        <w:t>discussion with families</w:t>
      </w:r>
      <w:r w:rsidRPr="090C4359" w:rsidR="00091230">
        <w:rPr>
          <w:rFonts w:asciiTheme="minorHAnsi" w:hAnsiTheme="minorHAnsi" w:cstheme="minorBidi"/>
          <w:sz w:val="22"/>
          <w:szCs w:val="22"/>
        </w:rPr>
        <w:t>, which could</w:t>
      </w:r>
      <w:r w:rsidRPr="090C4359" w:rsidR="00E55B3F">
        <w:rPr>
          <w:rFonts w:asciiTheme="minorHAnsi" w:hAnsiTheme="minorHAnsi" w:cstheme="minorBidi"/>
          <w:sz w:val="22"/>
          <w:szCs w:val="22"/>
        </w:rPr>
        <w:t xml:space="preserve"> subsequently</w:t>
      </w:r>
      <w:r w:rsidRPr="090C4359" w:rsidR="00091230">
        <w:rPr>
          <w:rFonts w:asciiTheme="minorHAnsi" w:hAnsiTheme="minorHAnsi" w:cstheme="minorBidi"/>
          <w:sz w:val="22"/>
          <w:szCs w:val="22"/>
        </w:rPr>
        <w:t xml:space="preserve"> lead to</w:t>
      </w:r>
      <w:r w:rsidRPr="090C4359" w:rsidR="00421C90">
        <w:rPr>
          <w:rFonts w:asciiTheme="minorHAnsi" w:hAnsiTheme="minorHAnsi" w:cstheme="minorBidi"/>
          <w:sz w:val="22"/>
          <w:szCs w:val="22"/>
        </w:rPr>
        <w:t xml:space="preserve"> </w:t>
      </w:r>
      <w:r w:rsidRPr="090C4359" w:rsidR="00F27C2C">
        <w:rPr>
          <w:rFonts w:asciiTheme="minorHAnsi" w:hAnsiTheme="minorHAnsi" w:cstheme="minorBidi"/>
          <w:sz w:val="22"/>
          <w:szCs w:val="22"/>
        </w:rPr>
        <w:t>action to limit or withdraw treatment</w:t>
      </w:r>
      <w:r w:rsidRPr="090C4359" w:rsidR="002F5C69">
        <w:rPr>
          <w:rFonts w:asciiTheme="minorHAnsi" w:hAnsiTheme="minorHAnsi" w:cstheme="minorBidi"/>
          <w:sz w:val="22"/>
          <w:szCs w:val="22"/>
        </w:rPr>
        <w:t>,</w:t>
      </w:r>
      <w:r w:rsidRPr="090C4359" w:rsidR="00F27C2C">
        <w:rPr>
          <w:rFonts w:asciiTheme="minorHAnsi" w:hAnsiTheme="minorHAnsi" w:cstheme="minorBidi"/>
          <w:sz w:val="22"/>
          <w:szCs w:val="22"/>
        </w:rPr>
        <w:t xml:space="preserve"> if </w:t>
      </w:r>
      <w:r w:rsidRPr="090C4359" w:rsidR="00421C90">
        <w:rPr>
          <w:rFonts w:asciiTheme="minorHAnsi" w:hAnsiTheme="minorHAnsi" w:cstheme="minorBidi"/>
          <w:sz w:val="22"/>
          <w:szCs w:val="22"/>
        </w:rPr>
        <w:t>at least one member of a treating team who is aware of the clinical facts</w:t>
      </w:r>
      <w:r w:rsidRPr="090C4359" w:rsidR="00332016">
        <w:rPr>
          <w:rFonts w:asciiTheme="minorHAnsi" w:hAnsiTheme="minorHAnsi" w:cstheme="minorBidi"/>
          <w:sz w:val="22"/>
          <w:szCs w:val="22"/>
        </w:rPr>
        <w:t xml:space="preserve">, would endorse the course of action and be prepared </w:t>
      </w:r>
      <w:r w:rsidRPr="090C4359" w:rsidR="000310DE">
        <w:rPr>
          <w:rFonts w:asciiTheme="minorHAnsi" w:hAnsiTheme="minorHAnsi" w:cstheme="minorBidi"/>
          <w:sz w:val="22"/>
          <w:szCs w:val="22"/>
        </w:rPr>
        <w:t xml:space="preserve">to take over the patient care. </w:t>
      </w:r>
      <w:r w:rsidRPr="090C4359" w:rsidR="000310DE">
        <w:rPr>
          <w:rStyle w:val="FootnoteReference"/>
          <w:rFonts w:asciiTheme="minorHAnsi" w:hAnsiTheme="minorHAnsi" w:cstheme="minorBidi"/>
          <w:sz w:val="22"/>
          <w:szCs w:val="22"/>
        </w:rPr>
        <w:footnoteReference w:id="249"/>
      </w:r>
      <w:r w:rsidRPr="090C4359" w:rsidR="00204993">
        <w:rPr>
          <w:rFonts w:asciiTheme="minorHAnsi" w:hAnsiTheme="minorHAnsi" w:cstheme="minorBidi"/>
          <w:sz w:val="22"/>
          <w:szCs w:val="22"/>
        </w:rPr>
        <w:t xml:space="preserve"> They suggest that a mitigating safeguard against vesting </w:t>
      </w:r>
      <w:r w:rsidRPr="090C4359" w:rsidR="008346EA">
        <w:rPr>
          <w:rFonts w:asciiTheme="minorHAnsi" w:hAnsiTheme="minorHAnsi" w:cstheme="minorBidi"/>
          <w:sz w:val="22"/>
          <w:szCs w:val="22"/>
        </w:rPr>
        <w:t xml:space="preserve">such power in only one professional would be the requirement </w:t>
      </w:r>
      <w:r w:rsidRPr="090C4359" w:rsidR="00F1465A">
        <w:rPr>
          <w:rFonts w:asciiTheme="minorHAnsi" w:hAnsiTheme="minorHAnsi" w:cstheme="minorBidi"/>
          <w:sz w:val="22"/>
          <w:szCs w:val="22"/>
        </w:rPr>
        <w:t>that before any endorsement of the course of action, there must be’ adequate reflection and discussion’.</w:t>
      </w:r>
      <w:r w:rsidRPr="090C4359" w:rsidR="00F1465A">
        <w:rPr>
          <w:rStyle w:val="FootnoteReference"/>
          <w:rFonts w:asciiTheme="minorHAnsi" w:hAnsiTheme="minorHAnsi" w:cstheme="minorBidi"/>
          <w:sz w:val="22"/>
          <w:szCs w:val="22"/>
        </w:rPr>
        <w:footnoteReference w:id="250"/>
      </w:r>
    </w:p>
    <w:p w:rsidRPr="008E20B9" w:rsidR="005D22A0" w:rsidP="005D22A0" w:rsidRDefault="005D22A0" w14:paraId="51A653B0" w14:textId="77777777">
      <w:pPr>
        <w:pStyle w:val="Normal0"/>
        <w:ind w:left="720"/>
        <w:rPr>
          <w:rFonts w:cstheme="minorHAnsi"/>
          <w:sz w:val="22"/>
          <w:szCs w:val="22"/>
        </w:rPr>
      </w:pPr>
    </w:p>
    <w:p w:rsidRPr="00763E94" w:rsidR="00A21F3C" w:rsidP="003768ED" w:rsidRDefault="000310DE" w14:paraId="79D4643D" w14:textId="3711CEF2">
      <w:pPr>
        <w:pStyle w:val="Normal0"/>
        <w:numPr>
          <w:ilvl w:val="0"/>
          <w:numId w:val="2"/>
        </w:numPr>
        <w:jc w:val="both"/>
        <w:rPr>
          <w:rFonts w:cstheme="minorHAnsi"/>
          <w:sz w:val="22"/>
          <w:szCs w:val="22"/>
        </w:rPr>
      </w:pPr>
      <w:r w:rsidRPr="090C4359">
        <w:rPr>
          <w:rFonts w:asciiTheme="minorHAnsi" w:hAnsiTheme="minorHAnsi" w:cstheme="minorBidi"/>
          <w:sz w:val="22"/>
          <w:szCs w:val="22"/>
        </w:rPr>
        <w:t xml:space="preserve">Some of the literature has broached </w:t>
      </w:r>
      <w:r w:rsidRPr="090C4359" w:rsidR="008D6F33">
        <w:rPr>
          <w:rFonts w:asciiTheme="minorHAnsi" w:hAnsiTheme="minorHAnsi" w:cstheme="minorBidi"/>
          <w:sz w:val="22"/>
          <w:szCs w:val="22"/>
        </w:rPr>
        <w:t>the need for healthcare professionals to reflect on their own</w:t>
      </w:r>
      <w:r w:rsidRPr="090C4359" w:rsidR="00CC2FFF">
        <w:rPr>
          <w:rFonts w:asciiTheme="minorHAnsi" w:hAnsiTheme="minorHAnsi" w:cstheme="minorBidi"/>
          <w:sz w:val="22"/>
          <w:szCs w:val="22"/>
        </w:rPr>
        <w:t xml:space="preserve"> characteristics,</w:t>
      </w:r>
      <w:r w:rsidRPr="090C4359" w:rsidR="008D6F33">
        <w:rPr>
          <w:rFonts w:asciiTheme="minorHAnsi" w:hAnsiTheme="minorHAnsi" w:cstheme="minorBidi"/>
          <w:sz w:val="22"/>
          <w:szCs w:val="22"/>
        </w:rPr>
        <w:t xml:space="preserve"> values and perceptions</w:t>
      </w:r>
      <w:r w:rsidRPr="090C4359" w:rsidR="00CC2FFF">
        <w:rPr>
          <w:rFonts w:asciiTheme="minorHAnsi" w:hAnsiTheme="minorHAnsi" w:cstheme="minorBidi"/>
          <w:sz w:val="22"/>
          <w:szCs w:val="22"/>
        </w:rPr>
        <w:t>, as well as</w:t>
      </w:r>
      <w:r w:rsidRPr="090C4359" w:rsidR="008E65F2">
        <w:rPr>
          <w:rFonts w:asciiTheme="minorHAnsi" w:hAnsiTheme="minorHAnsi" w:cstheme="minorBidi"/>
          <w:sz w:val="22"/>
          <w:szCs w:val="22"/>
        </w:rPr>
        <w:t xml:space="preserve"> </w:t>
      </w:r>
      <w:r w:rsidRPr="090C4359" w:rsidR="000455C1">
        <w:rPr>
          <w:rFonts w:asciiTheme="minorHAnsi" w:hAnsiTheme="minorHAnsi" w:cstheme="minorBidi"/>
          <w:sz w:val="22"/>
          <w:szCs w:val="22"/>
        </w:rPr>
        <w:t>seek a</w:t>
      </w:r>
      <w:r w:rsidRPr="090C4359" w:rsidR="000F5251">
        <w:rPr>
          <w:rFonts w:asciiTheme="minorHAnsi" w:hAnsiTheme="minorHAnsi" w:cstheme="minorBidi"/>
          <w:sz w:val="22"/>
          <w:szCs w:val="22"/>
        </w:rPr>
        <w:t xml:space="preserve"> more nuanced </w:t>
      </w:r>
      <w:r w:rsidRPr="090C4359" w:rsidR="000455C1">
        <w:rPr>
          <w:rFonts w:asciiTheme="minorHAnsi" w:hAnsiTheme="minorHAnsi" w:cstheme="minorBidi"/>
          <w:sz w:val="22"/>
          <w:szCs w:val="22"/>
        </w:rPr>
        <w:t>understanding of the context of parental decision-making.</w:t>
      </w:r>
      <w:r w:rsidRPr="090C4359" w:rsidR="00820FEF">
        <w:rPr>
          <w:rFonts w:asciiTheme="minorHAnsi" w:hAnsiTheme="minorHAnsi" w:cstheme="minorBidi"/>
          <w:sz w:val="22"/>
          <w:szCs w:val="22"/>
        </w:rPr>
        <w:t xml:space="preserve"> </w:t>
      </w:r>
      <w:r w:rsidRPr="090C4359" w:rsidR="002327C3">
        <w:rPr>
          <w:rFonts w:asciiTheme="minorHAnsi" w:hAnsiTheme="minorHAnsi" w:cstheme="minorBidi"/>
          <w:sz w:val="22"/>
          <w:szCs w:val="22"/>
        </w:rPr>
        <w:t xml:space="preserve">Birchely et al’s study found a high degree of consensus for the use of a </w:t>
      </w:r>
      <w:r w:rsidRPr="090C4359" w:rsidR="007D17EB">
        <w:rPr>
          <w:rFonts w:asciiTheme="minorHAnsi" w:hAnsiTheme="minorHAnsi" w:cstheme="minorBidi"/>
          <w:sz w:val="22"/>
          <w:szCs w:val="22"/>
        </w:rPr>
        <w:t xml:space="preserve">‘traffic light system’ to grade parents’ behaviour, but they are keen to point out that </w:t>
      </w:r>
      <w:r w:rsidRPr="090C4359" w:rsidR="00A50C21">
        <w:rPr>
          <w:rFonts w:asciiTheme="minorHAnsi" w:hAnsiTheme="minorHAnsi" w:cstheme="minorBidi"/>
          <w:sz w:val="22"/>
          <w:szCs w:val="22"/>
        </w:rPr>
        <w:t>this should not ‘</w:t>
      </w:r>
      <w:r w:rsidRPr="090C4359" w:rsidR="007D17EB">
        <w:rPr>
          <w:rFonts w:asciiTheme="minorHAnsi" w:hAnsiTheme="minorHAnsi" w:cstheme="minorBidi"/>
          <w:sz w:val="22"/>
          <w:szCs w:val="22"/>
        </w:rPr>
        <w:t>be misinterpreted as a judgemental critique of a family’s behaviour but rather as an opportunity for professionals to think about their own assumptions and approaches</w:t>
      </w:r>
      <w:r w:rsidRPr="090C4359" w:rsidR="00A50C21">
        <w:rPr>
          <w:rFonts w:asciiTheme="minorHAnsi" w:hAnsiTheme="minorHAnsi" w:cstheme="minorBidi"/>
          <w:sz w:val="22"/>
          <w:szCs w:val="22"/>
        </w:rPr>
        <w:t>’.</w:t>
      </w:r>
      <w:r w:rsidRPr="090C4359" w:rsidR="00A50C21">
        <w:rPr>
          <w:rStyle w:val="FootnoteReference"/>
          <w:rFonts w:asciiTheme="minorHAnsi" w:hAnsiTheme="minorHAnsi" w:cstheme="minorBidi"/>
          <w:sz w:val="22"/>
          <w:szCs w:val="22"/>
        </w:rPr>
        <w:footnoteReference w:id="251"/>
      </w:r>
      <w:r w:rsidRPr="090C4359" w:rsidR="007D17EB">
        <w:rPr>
          <w:rFonts w:asciiTheme="minorHAnsi" w:hAnsiTheme="minorHAnsi" w:cstheme="minorBidi"/>
          <w:sz w:val="22"/>
          <w:szCs w:val="22"/>
        </w:rPr>
        <w:t xml:space="preserve"> </w:t>
      </w:r>
      <w:r w:rsidRPr="090C4359" w:rsidR="005F7C10">
        <w:rPr>
          <w:rFonts w:asciiTheme="minorHAnsi" w:hAnsiTheme="minorHAnsi" w:cstheme="minorBidi"/>
          <w:sz w:val="22"/>
          <w:szCs w:val="22"/>
        </w:rPr>
        <w:t>In the USA</w:t>
      </w:r>
      <w:r w:rsidRPr="090C4359" w:rsidR="0052499C">
        <w:rPr>
          <w:rFonts w:asciiTheme="minorHAnsi" w:hAnsiTheme="minorHAnsi" w:cstheme="minorBidi"/>
          <w:sz w:val="22"/>
          <w:szCs w:val="22"/>
        </w:rPr>
        <w:t>,</w:t>
      </w:r>
      <w:r w:rsidRPr="090C4359" w:rsidR="005F7C10">
        <w:rPr>
          <w:rFonts w:asciiTheme="minorHAnsi" w:hAnsiTheme="minorHAnsi" w:cstheme="minorBidi"/>
          <w:sz w:val="22"/>
          <w:szCs w:val="22"/>
        </w:rPr>
        <w:t xml:space="preserve"> </w:t>
      </w:r>
      <w:r w:rsidRPr="090C4359" w:rsidR="001B503A">
        <w:rPr>
          <w:rFonts w:asciiTheme="minorHAnsi" w:hAnsiTheme="minorHAnsi" w:cstheme="minorBidi"/>
          <w:sz w:val="22"/>
          <w:szCs w:val="22"/>
        </w:rPr>
        <w:t xml:space="preserve">Bateman et al </w:t>
      </w:r>
      <w:r w:rsidRPr="090C4359" w:rsidR="00E70048">
        <w:rPr>
          <w:rFonts w:asciiTheme="minorHAnsi" w:hAnsiTheme="minorHAnsi" w:cstheme="minorBidi"/>
          <w:sz w:val="22"/>
          <w:szCs w:val="22"/>
        </w:rPr>
        <w:t xml:space="preserve">undertook </w:t>
      </w:r>
      <w:r w:rsidRPr="090C4359" w:rsidR="00C116AF">
        <w:rPr>
          <w:rFonts w:asciiTheme="minorHAnsi" w:hAnsiTheme="minorHAnsi" w:cstheme="minorBidi"/>
          <w:sz w:val="22"/>
          <w:szCs w:val="22"/>
        </w:rPr>
        <w:t>na</w:t>
      </w:r>
      <w:r w:rsidRPr="090C4359" w:rsidR="008E65F2">
        <w:rPr>
          <w:rFonts w:asciiTheme="minorHAnsi" w:hAnsiTheme="minorHAnsi" w:cstheme="minorBidi"/>
          <w:sz w:val="22"/>
          <w:szCs w:val="22"/>
        </w:rPr>
        <w:t>r</w:t>
      </w:r>
      <w:r w:rsidRPr="090C4359" w:rsidR="00C116AF">
        <w:rPr>
          <w:rFonts w:asciiTheme="minorHAnsi" w:hAnsiTheme="minorHAnsi" w:cstheme="minorBidi"/>
          <w:sz w:val="22"/>
          <w:szCs w:val="22"/>
        </w:rPr>
        <w:t>rative interviews with paediatric doctors to assess what i</w:t>
      </w:r>
      <w:r w:rsidRPr="090C4359" w:rsidR="00930B28">
        <w:rPr>
          <w:rFonts w:asciiTheme="minorHAnsi" w:hAnsiTheme="minorHAnsi" w:cstheme="minorBidi"/>
          <w:sz w:val="22"/>
          <w:szCs w:val="22"/>
        </w:rPr>
        <w:t xml:space="preserve">mpact their gender and parental status had on </w:t>
      </w:r>
      <w:r w:rsidRPr="090C4359" w:rsidR="00CC2FFF">
        <w:rPr>
          <w:rFonts w:asciiTheme="minorHAnsi" w:hAnsiTheme="minorHAnsi" w:cstheme="minorBidi"/>
          <w:sz w:val="22"/>
          <w:szCs w:val="22"/>
        </w:rPr>
        <w:t>their practice of patient</w:t>
      </w:r>
      <w:r w:rsidRPr="090C4359" w:rsidR="00F03CE3">
        <w:rPr>
          <w:rFonts w:asciiTheme="minorHAnsi" w:hAnsiTheme="minorHAnsi" w:cstheme="minorBidi"/>
          <w:sz w:val="22"/>
          <w:szCs w:val="22"/>
        </w:rPr>
        <w:t>-</w:t>
      </w:r>
      <w:r w:rsidRPr="090C4359" w:rsidR="00CC2FFF">
        <w:rPr>
          <w:rFonts w:asciiTheme="minorHAnsi" w:hAnsiTheme="minorHAnsi" w:cstheme="minorBidi"/>
          <w:sz w:val="22"/>
          <w:szCs w:val="22"/>
        </w:rPr>
        <w:t>centred communication.</w:t>
      </w:r>
      <w:r w:rsidRPr="090C4359" w:rsidR="008E65F2">
        <w:rPr>
          <w:rStyle w:val="FootnoteReference"/>
          <w:rFonts w:asciiTheme="minorHAnsi" w:hAnsiTheme="minorHAnsi" w:cstheme="minorBidi"/>
          <w:sz w:val="22"/>
          <w:szCs w:val="22"/>
        </w:rPr>
        <w:footnoteReference w:id="252"/>
      </w:r>
      <w:r w:rsidRPr="090C4359" w:rsidR="00E70048">
        <w:rPr>
          <w:rFonts w:asciiTheme="minorHAnsi" w:hAnsiTheme="minorHAnsi" w:cstheme="minorBidi"/>
          <w:sz w:val="22"/>
          <w:szCs w:val="22"/>
        </w:rPr>
        <w:t xml:space="preserve"> </w:t>
      </w:r>
      <w:r w:rsidRPr="090C4359" w:rsidR="00A81A5B">
        <w:rPr>
          <w:rFonts w:asciiTheme="minorHAnsi" w:hAnsiTheme="minorHAnsi" w:cstheme="minorBidi"/>
          <w:sz w:val="22"/>
          <w:szCs w:val="22"/>
        </w:rPr>
        <w:t xml:space="preserve"> </w:t>
      </w:r>
      <w:r w:rsidRPr="090C4359" w:rsidR="007B5C45">
        <w:rPr>
          <w:rFonts w:asciiTheme="minorHAnsi" w:hAnsiTheme="minorHAnsi" w:cstheme="minorBidi"/>
          <w:sz w:val="22"/>
          <w:szCs w:val="22"/>
        </w:rPr>
        <w:t>They found that female doctors believed they were more</w:t>
      </w:r>
      <w:r w:rsidRPr="090C4359" w:rsidR="0052499C">
        <w:rPr>
          <w:rFonts w:asciiTheme="minorHAnsi" w:hAnsiTheme="minorHAnsi" w:cstheme="minorBidi"/>
          <w:sz w:val="22"/>
          <w:szCs w:val="22"/>
        </w:rPr>
        <w:t xml:space="preserve"> </w:t>
      </w:r>
      <w:r w:rsidRPr="090C4359" w:rsidR="00E537EF">
        <w:rPr>
          <w:rFonts w:asciiTheme="minorHAnsi" w:hAnsiTheme="minorHAnsi" w:cstheme="minorBidi"/>
          <w:sz w:val="22"/>
          <w:szCs w:val="22"/>
        </w:rPr>
        <w:t>empathetic, spent longer with patients</w:t>
      </w:r>
      <w:r w:rsidRPr="090C4359" w:rsidR="009B3230">
        <w:rPr>
          <w:rFonts w:asciiTheme="minorHAnsi" w:hAnsiTheme="minorHAnsi" w:cstheme="minorBidi"/>
          <w:sz w:val="22"/>
          <w:szCs w:val="22"/>
        </w:rPr>
        <w:t xml:space="preserve">, </w:t>
      </w:r>
      <w:r w:rsidRPr="090C4359" w:rsidR="000047DC">
        <w:rPr>
          <w:rFonts w:asciiTheme="minorHAnsi" w:hAnsiTheme="minorHAnsi" w:cstheme="minorBidi"/>
          <w:sz w:val="22"/>
          <w:szCs w:val="22"/>
        </w:rPr>
        <w:t xml:space="preserve">formed deeper emotional </w:t>
      </w:r>
      <w:r w:rsidRPr="090C4359" w:rsidR="00276897">
        <w:rPr>
          <w:rFonts w:asciiTheme="minorHAnsi" w:hAnsiTheme="minorHAnsi" w:cstheme="minorBidi"/>
          <w:sz w:val="22"/>
          <w:szCs w:val="22"/>
        </w:rPr>
        <w:t>attachments</w:t>
      </w:r>
      <w:r w:rsidRPr="090C4359" w:rsidR="009B3230">
        <w:rPr>
          <w:rFonts w:asciiTheme="minorHAnsi" w:hAnsiTheme="minorHAnsi" w:cstheme="minorBidi"/>
          <w:sz w:val="22"/>
          <w:szCs w:val="22"/>
        </w:rPr>
        <w:t xml:space="preserve"> and</w:t>
      </w:r>
      <w:r w:rsidRPr="090C4359" w:rsidR="00EB5471">
        <w:rPr>
          <w:rFonts w:asciiTheme="minorHAnsi" w:hAnsiTheme="minorHAnsi" w:cstheme="minorBidi"/>
          <w:sz w:val="22"/>
          <w:szCs w:val="22"/>
        </w:rPr>
        <w:t xml:space="preserve"> experienced more emotional pain</w:t>
      </w:r>
      <w:r w:rsidRPr="090C4359" w:rsidR="009B3230">
        <w:rPr>
          <w:rFonts w:asciiTheme="minorHAnsi" w:hAnsiTheme="minorHAnsi" w:cstheme="minorBidi"/>
          <w:sz w:val="22"/>
          <w:szCs w:val="22"/>
        </w:rPr>
        <w:t xml:space="preserve"> as a result</w:t>
      </w:r>
      <w:r w:rsidRPr="090C4359" w:rsidR="00D84112">
        <w:rPr>
          <w:rFonts w:asciiTheme="minorHAnsi" w:hAnsiTheme="minorHAnsi" w:cstheme="minorBidi"/>
          <w:sz w:val="22"/>
          <w:szCs w:val="22"/>
        </w:rPr>
        <w:t xml:space="preserve">, </w:t>
      </w:r>
      <w:r w:rsidRPr="090C4359" w:rsidR="0075538A">
        <w:rPr>
          <w:rFonts w:asciiTheme="minorHAnsi" w:hAnsiTheme="minorHAnsi" w:cstheme="minorBidi"/>
          <w:sz w:val="22"/>
          <w:szCs w:val="22"/>
        </w:rPr>
        <w:t>as compared to</w:t>
      </w:r>
      <w:r w:rsidRPr="090C4359" w:rsidR="00D84112">
        <w:rPr>
          <w:rFonts w:asciiTheme="minorHAnsi" w:hAnsiTheme="minorHAnsi" w:cstheme="minorBidi"/>
          <w:sz w:val="22"/>
          <w:szCs w:val="22"/>
        </w:rPr>
        <w:t xml:space="preserve"> male doctors who could more easily detach.</w:t>
      </w:r>
      <w:r w:rsidRPr="090C4359" w:rsidR="00F03CE3">
        <w:rPr>
          <w:rStyle w:val="FootnoteReference"/>
          <w:rFonts w:asciiTheme="minorHAnsi" w:hAnsiTheme="minorHAnsi" w:cstheme="minorBidi"/>
          <w:sz w:val="22"/>
          <w:szCs w:val="22"/>
        </w:rPr>
        <w:footnoteReference w:id="253"/>
      </w:r>
      <w:r w:rsidRPr="090C4359" w:rsidR="003567D3">
        <w:rPr>
          <w:rFonts w:asciiTheme="minorHAnsi" w:hAnsiTheme="minorHAnsi" w:cstheme="minorBidi"/>
          <w:sz w:val="22"/>
          <w:szCs w:val="22"/>
        </w:rPr>
        <w:t xml:space="preserve"> </w:t>
      </w:r>
      <w:r w:rsidRPr="090C4359" w:rsidR="009E45A8">
        <w:rPr>
          <w:rFonts w:asciiTheme="minorHAnsi" w:hAnsiTheme="minorHAnsi" w:cstheme="minorBidi"/>
          <w:sz w:val="22"/>
          <w:szCs w:val="22"/>
        </w:rPr>
        <w:t>The male doctors refuted the gend</w:t>
      </w:r>
      <w:r w:rsidRPr="090C4359" w:rsidR="00B0562F">
        <w:rPr>
          <w:rFonts w:asciiTheme="minorHAnsi" w:hAnsiTheme="minorHAnsi" w:cstheme="minorBidi"/>
          <w:sz w:val="22"/>
          <w:szCs w:val="22"/>
        </w:rPr>
        <w:t xml:space="preserve">er </w:t>
      </w:r>
      <w:r w:rsidRPr="090C4359" w:rsidR="009E45A8">
        <w:rPr>
          <w:rFonts w:asciiTheme="minorHAnsi" w:hAnsiTheme="minorHAnsi" w:cstheme="minorBidi"/>
          <w:sz w:val="22"/>
          <w:szCs w:val="22"/>
        </w:rPr>
        <w:t>stereotype, believing that personality and life experience played a</w:t>
      </w:r>
      <w:r w:rsidRPr="090C4359" w:rsidR="00B0562F">
        <w:rPr>
          <w:rFonts w:asciiTheme="minorHAnsi" w:hAnsiTheme="minorHAnsi" w:cstheme="minorBidi"/>
          <w:sz w:val="22"/>
          <w:szCs w:val="22"/>
        </w:rPr>
        <w:t xml:space="preserve"> </w:t>
      </w:r>
      <w:r w:rsidRPr="090C4359" w:rsidR="009E45A8">
        <w:rPr>
          <w:rFonts w:asciiTheme="minorHAnsi" w:hAnsiTheme="minorHAnsi" w:cstheme="minorBidi"/>
          <w:sz w:val="22"/>
          <w:szCs w:val="22"/>
        </w:rPr>
        <w:t>greater part in communication</w:t>
      </w:r>
      <w:r w:rsidRPr="090C4359" w:rsidR="000B065D">
        <w:rPr>
          <w:rFonts w:asciiTheme="minorHAnsi" w:hAnsiTheme="minorHAnsi" w:cstheme="minorBidi"/>
          <w:sz w:val="22"/>
          <w:szCs w:val="22"/>
        </w:rPr>
        <w:t xml:space="preserve"> </w:t>
      </w:r>
      <w:r w:rsidRPr="090C4359" w:rsidR="009E45A8">
        <w:rPr>
          <w:rFonts w:asciiTheme="minorHAnsi" w:hAnsiTheme="minorHAnsi" w:cstheme="minorBidi"/>
          <w:sz w:val="22"/>
          <w:szCs w:val="22"/>
        </w:rPr>
        <w:t>styles</w:t>
      </w:r>
      <w:r w:rsidRPr="090C4359" w:rsidR="005354D5">
        <w:rPr>
          <w:rFonts w:asciiTheme="minorHAnsi" w:hAnsiTheme="minorHAnsi" w:cstheme="minorBidi"/>
          <w:sz w:val="22"/>
          <w:szCs w:val="22"/>
        </w:rPr>
        <w:t>. However</w:t>
      </w:r>
      <w:r w:rsidRPr="090C4359" w:rsidR="003E0413">
        <w:rPr>
          <w:rFonts w:asciiTheme="minorHAnsi" w:hAnsiTheme="minorHAnsi" w:cstheme="minorBidi"/>
          <w:sz w:val="22"/>
          <w:szCs w:val="22"/>
        </w:rPr>
        <w:t>,</w:t>
      </w:r>
      <w:r w:rsidRPr="090C4359" w:rsidR="009E45A8">
        <w:rPr>
          <w:rFonts w:asciiTheme="minorHAnsi" w:hAnsiTheme="minorHAnsi" w:cstheme="minorBidi"/>
          <w:sz w:val="22"/>
          <w:szCs w:val="22"/>
        </w:rPr>
        <w:t xml:space="preserve"> both groups agreed that parental status had the biggest impact on </w:t>
      </w:r>
      <w:r w:rsidRPr="090C4359" w:rsidR="000B065D">
        <w:rPr>
          <w:rFonts w:asciiTheme="minorHAnsi" w:hAnsiTheme="minorHAnsi" w:cstheme="minorBidi"/>
          <w:sz w:val="22"/>
          <w:szCs w:val="22"/>
        </w:rPr>
        <w:t>interactions with families</w:t>
      </w:r>
      <w:r w:rsidRPr="090C4359" w:rsidR="005354D5">
        <w:rPr>
          <w:rFonts w:asciiTheme="minorHAnsi" w:hAnsiTheme="minorHAnsi" w:cstheme="minorBidi"/>
          <w:sz w:val="22"/>
          <w:szCs w:val="22"/>
        </w:rPr>
        <w:t>, which had a</w:t>
      </w:r>
      <w:r w:rsidRPr="090C4359" w:rsidR="000B065D">
        <w:rPr>
          <w:rFonts w:asciiTheme="minorHAnsi" w:hAnsiTheme="minorHAnsi" w:cstheme="minorBidi"/>
          <w:sz w:val="22"/>
          <w:szCs w:val="22"/>
        </w:rPr>
        <w:t xml:space="preserve"> complex </w:t>
      </w:r>
      <w:r w:rsidRPr="090C4359" w:rsidR="004761AF">
        <w:rPr>
          <w:rFonts w:asciiTheme="minorHAnsi" w:hAnsiTheme="minorHAnsi" w:cstheme="minorBidi"/>
          <w:sz w:val="22"/>
          <w:szCs w:val="22"/>
        </w:rPr>
        <w:t>effect</w:t>
      </w:r>
      <w:r w:rsidRPr="090C4359" w:rsidR="005354D5">
        <w:rPr>
          <w:rFonts w:asciiTheme="minorHAnsi" w:hAnsiTheme="minorHAnsi" w:cstheme="minorBidi"/>
          <w:sz w:val="22"/>
          <w:szCs w:val="22"/>
        </w:rPr>
        <w:t xml:space="preserve"> overall. This </w:t>
      </w:r>
      <w:r w:rsidRPr="090C4359" w:rsidR="000B065D">
        <w:rPr>
          <w:rFonts w:asciiTheme="minorHAnsi" w:hAnsiTheme="minorHAnsi" w:cstheme="minorBidi"/>
          <w:sz w:val="22"/>
          <w:szCs w:val="22"/>
        </w:rPr>
        <w:t>was described by one male doctor who explained ‘</w:t>
      </w:r>
      <w:r w:rsidRPr="090C4359" w:rsidR="000D6976">
        <w:rPr>
          <w:rFonts w:asciiTheme="minorHAnsi" w:hAnsiTheme="minorHAnsi" w:cstheme="minorBidi"/>
          <w:sz w:val="22"/>
          <w:szCs w:val="22"/>
        </w:rPr>
        <w:t>it became a lot more difficult once I had children …</w:t>
      </w:r>
      <w:r w:rsidRPr="090C4359" w:rsidR="00DC4DD2">
        <w:rPr>
          <w:rFonts w:asciiTheme="minorHAnsi" w:hAnsiTheme="minorHAnsi" w:cstheme="minorBidi"/>
          <w:sz w:val="22"/>
          <w:szCs w:val="22"/>
        </w:rPr>
        <w:t xml:space="preserve">it became easier to empathize with families once I had children too. The pain </w:t>
      </w:r>
      <w:r w:rsidRPr="090C4359" w:rsidR="00D073CC">
        <w:rPr>
          <w:rFonts w:asciiTheme="minorHAnsi" w:hAnsiTheme="minorHAnsi" w:cstheme="minorBidi"/>
          <w:sz w:val="22"/>
          <w:szCs w:val="22"/>
        </w:rPr>
        <w:t xml:space="preserve">was bigger because you feel like “whoa, that could have been </w:t>
      </w:r>
      <w:r w:rsidRPr="090C4359" w:rsidR="00055ABF">
        <w:rPr>
          <w:rFonts w:asciiTheme="minorHAnsi" w:hAnsiTheme="minorHAnsi" w:cstheme="minorBidi"/>
          <w:sz w:val="22"/>
          <w:szCs w:val="22"/>
        </w:rPr>
        <w:t>my child”. But… at the same time it prepares you better</w:t>
      </w:r>
      <w:r w:rsidRPr="090C4359" w:rsidR="00E0157A">
        <w:rPr>
          <w:rFonts w:asciiTheme="minorHAnsi" w:hAnsiTheme="minorHAnsi" w:cstheme="minorBidi"/>
          <w:sz w:val="22"/>
          <w:szCs w:val="22"/>
        </w:rPr>
        <w:t xml:space="preserve"> because you understand the love they have for their children.’</w:t>
      </w:r>
      <w:r w:rsidRPr="090C4359" w:rsidR="00E0157A">
        <w:rPr>
          <w:rStyle w:val="FootnoteReference"/>
          <w:rFonts w:asciiTheme="minorHAnsi" w:hAnsiTheme="minorHAnsi" w:cstheme="minorBidi"/>
          <w:sz w:val="22"/>
          <w:szCs w:val="22"/>
        </w:rPr>
        <w:footnoteReference w:id="254"/>
      </w:r>
      <w:r w:rsidRPr="090C4359" w:rsidR="005C2C31">
        <w:rPr>
          <w:rFonts w:asciiTheme="minorHAnsi" w:hAnsiTheme="minorHAnsi" w:cstheme="minorBidi"/>
          <w:sz w:val="22"/>
          <w:szCs w:val="22"/>
        </w:rPr>
        <w:t xml:space="preserve"> </w:t>
      </w:r>
      <w:r w:rsidRPr="090C4359" w:rsidR="00F37ADF">
        <w:rPr>
          <w:rFonts w:asciiTheme="minorHAnsi" w:hAnsiTheme="minorHAnsi" w:cstheme="minorBidi"/>
          <w:sz w:val="22"/>
          <w:szCs w:val="22"/>
        </w:rPr>
        <w:t xml:space="preserve">Bateman et al </w:t>
      </w:r>
      <w:r w:rsidRPr="090C4359" w:rsidR="00713D94">
        <w:rPr>
          <w:rFonts w:asciiTheme="minorHAnsi" w:hAnsiTheme="minorHAnsi" w:cstheme="minorBidi"/>
          <w:sz w:val="22"/>
          <w:szCs w:val="22"/>
        </w:rPr>
        <w:t xml:space="preserve">contend that </w:t>
      </w:r>
      <w:r w:rsidRPr="090C4359" w:rsidR="00533EEE">
        <w:rPr>
          <w:rFonts w:asciiTheme="minorHAnsi" w:hAnsiTheme="minorHAnsi" w:cstheme="minorBidi"/>
          <w:sz w:val="22"/>
          <w:szCs w:val="22"/>
        </w:rPr>
        <w:t xml:space="preserve">recognising the vulnerabilities that these factors give rise to and how they might impact communication, </w:t>
      </w:r>
      <w:r w:rsidRPr="090C4359" w:rsidR="00713D94">
        <w:rPr>
          <w:rFonts w:asciiTheme="minorHAnsi" w:hAnsiTheme="minorHAnsi" w:cstheme="minorBidi"/>
          <w:sz w:val="22"/>
          <w:szCs w:val="22"/>
        </w:rPr>
        <w:t xml:space="preserve">will help doctors to </w:t>
      </w:r>
      <w:r w:rsidRPr="090C4359" w:rsidR="004B3160">
        <w:rPr>
          <w:rFonts w:asciiTheme="minorHAnsi" w:hAnsiTheme="minorHAnsi" w:cstheme="minorBidi"/>
          <w:sz w:val="22"/>
          <w:szCs w:val="22"/>
        </w:rPr>
        <w:t>better form a ‘therapeutic alliance’ with patients</w:t>
      </w:r>
      <w:r w:rsidRPr="090C4359" w:rsidR="0041379E">
        <w:rPr>
          <w:rFonts w:asciiTheme="minorHAnsi" w:hAnsiTheme="minorHAnsi" w:cstheme="minorBidi"/>
          <w:sz w:val="22"/>
          <w:szCs w:val="22"/>
        </w:rPr>
        <w:t>,</w:t>
      </w:r>
      <w:r w:rsidRPr="090C4359" w:rsidR="004B3160">
        <w:rPr>
          <w:rFonts w:asciiTheme="minorHAnsi" w:hAnsiTheme="minorHAnsi" w:cstheme="minorBidi"/>
          <w:sz w:val="22"/>
          <w:szCs w:val="22"/>
        </w:rPr>
        <w:t xml:space="preserve"> and</w:t>
      </w:r>
      <w:r w:rsidRPr="090C4359" w:rsidR="00F5310B">
        <w:rPr>
          <w:rFonts w:asciiTheme="minorHAnsi" w:hAnsiTheme="minorHAnsi" w:cstheme="minorBidi"/>
          <w:sz w:val="22"/>
          <w:szCs w:val="22"/>
        </w:rPr>
        <w:t xml:space="preserve"> provide avenues for training and </w:t>
      </w:r>
      <w:r w:rsidRPr="090C4359" w:rsidR="00DC78FB">
        <w:rPr>
          <w:rFonts w:asciiTheme="minorHAnsi" w:hAnsiTheme="minorHAnsi" w:cstheme="minorBidi"/>
          <w:sz w:val="22"/>
          <w:szCs w:val="22"/>
        </w:rPr>
        <w:t>emotional support.</w:t>
      </w:r>
      <w:r w:rsidRPr="090C4359" w:rsidR="00DC78FB">
        <w:rPr>
          <w:rStyle w:val="FootnoteReference"/>
          <w:rFonts w:asciiTheme="minorHAnsi" w:hAnsiTheme="minorHAnsi" w:cstheme="minorBidi"/>
          <w:sz w:val="22"/>
          <w:szCs w:val="22"/>
        </w:rPr>
        <w:footnoteReference w:id="255"/>
      </w:r>
      <w:r w:rsidRPr="090C4359" w:rsidR="004B3160">
        <w:rPr>
          <w:rFonts w:asciiTheme="minorHAnsi" w:hAnsiTheme="minorHAnsi" w:cstheme="minorBidi"/>
          <w:sz w:val="22"/>
          <w:szCs w:val="22"/>
        </w:rPr>
        <w:t xml:space="preserve"> </w:t>
      </w:r>
    </w:p>
    <w:p w:rsidRPr="008E20B9" w:rsidR="00AC3273" w:rsidP="00AC3273" w:rsidRDefault="00AC3273" w14:paraId="659A82D2" w14:textId="77777777">
      <w:pPr>
        <w:pStyle w:val="Normal0"/>
        <w:ind w:left="720"/>
        <w:rPr>
          <w:rFonts w:cstheme="minorHAnsi"/>
          <w:sz w:val="22"/>
          <w:szCs w:val="22"/>
        </w:rPr>
      </w:pPr>
    </w:p>
    <w:p w:rsidRPr="008E20B9" w:rsidR="00267D10" w:rsidP="00EF638C" w:rsidRDefault="00D27443" w14:paraId="35622BEE" w14:textId="4E71DFE8">
      <w:pPr>
        <w:pStyle w:val="Normal0"/>
        <w:numPr>
          <w:ilvl w:val="0"/>
          <w:numId w:val="2"/>
        </w:numPr>
        <w:rPr>
          <w:rFonts w:cstheme="minorHAnsi"/>
          <w:sz w:val="22"/>
          <w:szCs w:val="22"/>
        </w:rPr>
      </w:pPr>
      <w:r w:rsidRPr="090C4359">
        <w:rPr>
          <w:rFonts w:asciiTheme="minorHAnsi" w:hAnsiTheme="minorHAnsi" w:cstheme="minorBidi"/>
          <w:sz w:val="22"/>
          <w:szCs w:val="22"/>
        </w:rPr>
        <w:t>Mooney</w:t>
      </w:r>
      <w:r w:rsidRPr="090C4359" w:rsidR="005C18CA">
        <w:rPr>
          <w:rFonts w:asciiTheme="minorHAnsi" w:hAnsiTheme="minorHAnsi" w:cstheme="minorBidi"/>
          <w:sz w:val="22"/>
          <w:szCs w:val="22"/>
        </w:rPr>
        <w:t>-</w:t>
      </w:r>
      <w:r w:rsidRPr="090C4359">
        <w:rPr>
          <w:rFonts w:asciiTheme="minorHAnsi" w:hAnsiTheme="minorHAnsi" w:cstheme="minorBidi"/>
          <w:sz w:val="22"/>
          <w:szCs w:val="22"/>
        </w:rPr>
        <w:t xml:space="preserve">Doyle and Ulrich </w:t>
      </w:r>
      <w:r w:rsidRPr="090C4359" w:rsidR="00E32E50">
        <w:rPr>
          <w:rFonts w:asciiTheme="minorHAnsi" w:hAnsiTheme="minorHAnsi" w:cstheme="minorBidi"/>
          <w:sz w:val="22"/>
          <w:szCs w:val="22"/>
        </w:rPr>
        <w:t>s</w:t>
      </w:r>
      <w:r w:rsidRPr="090C4359" w:rsidR="00A1579B">
        <w:rPr>
          <w:rFonts w:asciiTheme="minorHAnsi" w:hAnsiTheme="minorHAnsi" w:cstheme="minorBidi"/>
          <w:sz w:val="22"/>
          <w:szCs w:val="22"/>
        </w:rPr>
        <w:t>uggest</w:t>
      </w:r>
      <w:r w:rsidRPr="090C4359" w:rsidR="00E32E50">
        <w:rPr>
          <w:rFonts w:asciiTheme="minorHAnsi" w:hAnsiTheme="minorHAnsi" w:cstheme="minorBidi"/>
          <w:sz w:val="22"/>
          <w:szCs w:val="22"/>
        </w:rPr>
        <w:t xml:space="preserve"> that a deeper understanding</w:t>
      </w:r>
      <w:r w:rsidRPr="090C4359" w:rsidR="00295740">
        <w:rPr>
          <w:rFonts w:asciiTheme="minorHAnsi" w:hAnsiTheme="minorHAnsi" w:cstheme="minorBidi"/>
          <w:sz w:val="22"/>
          <w:szCs w:val="22"/>
        </w:rPr>
        <w:t xml:space="preserve"> by </w:t>
      </w:r>
      <w:r w:rsidRPr="090C4359" w:rsidR="00A1579B">
        <w:rPr>
          <w:rFonts w:asciiTheme="minorHAnsi" w:hAnsiTheme="minorHAnsi" w:cstheme="minorBidi"/>
          <w:sz w:val="22"/>
          <w:szCs w:val="22"/>
        </w:rPr>
        <w:t>healthcare professional</w:t>
      </w:r>
      <w:r w:rsidRPr="090C4359" w:rsidR="00083E0B">
        <w:rPr>
          <w:rFonts w:asciiTheme="minorHAnsi" w:hAnsiTheme="minorHAnsi" w:cstheme="minorBidi"/>
          <w:sz w:val="22"/>
          <w:szCs w:val="22"/>
        </w:rPr>
        <w:t>s</w:t>
      </w:r>
      <w:r w:rsidRPr="090C4359" w:rsidR="00E32E50">
        <w:rPr>
          <w:rFonts w:asciiTheme="minorHAnsi" w:hAnsiTheme="minorHAnsi" w:cstheme="minorBidi"/>
          <w:sz w:val="22"/>
          <w:szCs w:val="22"/>
        </w:rPr>
        <w:t xml:space="preserve"> of parental moral distress</w:t>
      </w:r>
      <w:r w:rsidRPr="090C4359" w:rsidR="00295740">
        <w:rPr>
          <w:rFonts w:asciiTheme="minorHAnsi" w:hAnsiTheme="minorHAnsi" w:cstheme="minorBidi"/>
          <w:sz w:val="22"/>
          <w:szCs w:val="22"/>
        </w:rPr>
        <w:t xml:space="preserve"> at ‘</w:t>
      </w:r>
      <w:r w:rsidRPr="090C4359">
        <w:rPr>
          <w:rFonts w:asciiTheme="minorHAnsi" w:hAnsiTheme="minorHAnsi" w:cstheme="minorBidi"/>
          <w:sz w:val="22"/>
          <w:szCs w:val="22"/>
        </w:rPr>
        <w:t>intrapersonal, interpersonal, and existential/spiritual dimensions</w:t>
      </w:r>
      <w:r w:rsidRPr="090C4359" w:rsidR="00295740">
        <w:rPr>
          <w:rFonts w:asciiTheme="minorHAnsi" w:hAnsiTheme="minorHAnsi" w:cstheme="minorBidi"/>
          <w:sz w:val="22"/>
          <w:szCs w:val="22"/>
        </w:rPr>
        <w:t>’ is needed</w:t>
      </w:r>
      <w:r w:rsidRPr="090C4359" w:rsidR="00251FF4">
        <w:rPr>
          <w:rFonts w:asciiTheme="minorHAnsi" w:hAnsiTheme="minorHAnsi" w:cstheme="minorBidi"/>
          <w:sz w:val="22"/>
          <w:szCs w:val="22"/>
        </w:rPr>
        <w:t xml:space="preserve">. Understanding the intrapersonal </w:t>
      </w:r>
      <w:r w:rsidRPr="090C4359" w:rsidR="00F90EDC">
        <w:rPr>
          <w:rFonts w:asciiTheme="minorHAnsi" w:hAnsiTheme="minorHAnsi" w:cstheme="minorBidi"/>
          <w:sz w:val="22"/>
          <w:szCs w:val="22"/>
        </w:rPr>
        <w:t>aspects</w:t>
      </w:r>
      <w:r w:rsidRPr="090C4359" w:rsidR="00295740">
        <w:rPr>
          <w:rFonts w:asciiTheme="minorHAnsi" w:hAnsiTheme="minorHAnsi" w:cstheme="minorBidi"/>
          <w:sz w:val="22"/>
          <w:szCs w:val="22"/>
        </w:rPr>
        <w:t xml:space="preserve"> c</w:t>
      </w:r>
      <w:r w:rsidRPr="090C4359" w:rsidR="00F90EDC">
        <w:rPr>
          <w:rFonts w:asciiTheme="minorHAnsi" w:hAnsiTheme="minorHAnsi" w:cstheme="minorBidi"/>
          <w:sz w:val="22"/>
          <w:szCs w:val="22"/>
        </w:rPr>
        <w:t>ould</w:t>
      </w:r>
      <w:r w:rsidRPr="090C4359" w:rsidR="00295740">
        <w:rPr>
          <w:rFonts w:asciiTheme="minorHAnsi" w:hAnsiTheme="minorHAnsi" w:cstheme="minorBidi"/>
          <w:sz w:val="22"/>
          <w:szCs w:val="22"/>
        </w:rPr>
        <w:t xml:space="preserve"> then </w:t>
      </w:r>
      <w:r w:rsidRPr="090C4359" w:rsidR="004C0CAC">
        <w:rPr>
          <w:rFonts w:asciiTheme="minorHAnsi" w:hAnsiTheme="minorHAnsi" w:cstheme="minorBidi"/>
          <w:sz w:val="22"/>
          <w:szCs w:val="22"/>
        </w:rPr>
        <w:t xml:space="preserve">prompt them to ask, for example, about the </w:t>
      </w:r>
      <w:r w:rsidRPr="090C4359" w:rsidR="00251FF4">
        <w:rPr>
          <w:rFonts w:asciiTheme="minorHAnsi" w:hAnsiTheme="minorHAnsi" w:cstheme="minorBidi"/>
          <w:sz w:val="22"/>
          <w:szCs w:val="22"/>
        </w:rPr>
        <w:t>‘</w:t>
      </w:r>
      <w:r w:rsidRPr="090C4359" w:rsidR="004C0CAC">
        <w:rPr>
          <w:rFonts w:asciiTheme="minorHAnsi" w:hAnsiTheme="minorHAnsi" w:cstheme="minorBidi"/>
          <w:sz w:val="22"/>
          <w:szCs w:val="22"/>
        </w:rPr>
        <w:t>multiple stressors parents face in caring for their family</w:t>
      </w:r>
      <w:r w:rsidRPr="090C4359" w:rsidR="00F90EDC">
        <w:rPr>
          <w:rFonts w:asciiTheme="minorHAnsi" w:hAnsiTheme="minorHAnsi" w:cstheme="minorBidi"/>
          <w:sz w:val="22"/>
          <w:szCs w:val="22"/>
        </w:rPr>
        <w:t>’.</w:t>
      </w:r>
      <w:r w:rsidRPr="090C4359" w:rsidR="00F90EDC">
        <w:rPr>
          <w:rStyle w:val="FootnoteReference"/>
          <w:rFonts w:asciiTheme="minorHAnsi" w:hAnsiTheme="minorHAnsi" w:cstheme="minorBidi"/>
          <w:sz w:val="22"/>
          <w:szCs w:val="22"/>
        </w:rPr>
        <w:footnoteReference w:id="256"/>
      </w:r>
      <w:r w:rsidRPr="090C4359" w:rsidR="00C16CEC">
        <w:rPr>
          <w:rFonts w:asciiTheme="minorHAnsi" w:hAnsiTheme="minorHAnsi" w:cstheme="minorBidi"/>
          <w:sz w:val="22"/>
          <w:szCs w:val="22"/>
        </w:rPr>
        <w:t xml:space="preserve"> C</w:t>
      </w:r>
      <w:r w:rsidRPr="090C4359" w:rsidR="00D9090F">
        <w:rPr>
          <w:rFonts w:asciiTheme="minorHAnsi" w:hAnsiTheme="minorHAnsi" w:cstheme="minorBidi"/>
          <w:sz w:val="22"/>
          <w:szCs w:val="22"/>
        </w:rPr>
        <w:t>a</w:t>
      </w:r>
      <w:r w:rsidRPr="090C4359" w:rsidR="00C16CEC">
        <w:rPr>
          <w:rFonts w:asciiTheme="minorHAnsi" w:hAnsiTheme="minorHAnsi" w:cstheme="minorBidi"/>
          <w:sz w:val="22"/>
          <w:szCs w:val="22"/>
        </w:rPr>
        <w:t>r</w:t>
      </w:r>
      <w:r w:rsidRPr="090C4359" w:rsidR="00D9090F">
        <w:rPr>
          <w:rFonts w:asciiTheme="minorHAnsi" w:hAnsiTheme="minorHAnsi" w:cstheme="minorBidi"/>
          <w:sz w:val="22"/>
          <w:szCs w:val="22"/>
        </w:rPr>
        <w:t>u</w:t>
      </w:r>
      <w:r w:rsidRPr="090C4359" w:rsidR="00133831">
        <w:rPr>
          <w:rFonts w:asciiTheme="minorHAnsi" w:hAnsiTheme="minorHAnsi" w:cstheme="minorBidi"/>
          <w:sz w:val="22"/>
          <w:szCs w:val="22"/>
        </w:rPr>
        <w:t xml:space="preserve">so Brown offers a fresh perspective in viewing parental decision-making as a form of healing ritual </w:t>
      </w:r>
      <w:r w:rsidRPr="090C4359" w:rsidR="00847314">
        <w:rPr>
          <w:rFonts w:asciiTheme="minorHAnsi" w:hAnsiTheme="minorHAnsi" w:cstheme="minorBidi"/>
          <w:sz w:val="22"/>
          <w:szCs w:val="22"/>
        </w:rPr>
        <w:t xml:space="preserve">for the family </w:t>
      </w:r>
      <w:r w:rsidRPr="090C4359" w:rsidR="00133831">
        <w:rPr>
          <w:rFonts w:asciiTheme="minorHAnsi" w:hAnsiTheme="minorHAnsi" w:cstheme="minorBidi"/>
          <w:sz w:val="22"/>
          <w:szCs w:val="22"/>
        </w:rPr>
        <w:t>and that</w:t>
      </w:r>
      <w:r w:rsidRPr="090C4359" w:rsidR="00CD1A66">
        <w:rPr>
          <w:rFonts w:asciiTheme="minorHAnsi" w:hAnsiTheme="minorHAnsi" w:cstheme="minorBidi"/>
          <w:sz w:val="22"/>
          <w:szCs w:val="22"/>
        </w:rPr>
        <w:t xml:space="preserve"> an understanding of this can help ‘</w:t>
      </w:r>
      <w:r w:rsidRPr="090C4359" w:rsidR="00133831">
        <w:rPr>
          <w:rFonts w:asciiTheme="minorHAnsi" w:hAnsiTheme="minorHAnsi" w:cstheme="minorBidi"/>
          <w:sz w:val="22"/>
          <w:szCs w:val="22"/>
        </w:rPr>
        <w:t>to attenuate moral distress surrounding end-of-life care choices that seem inappropriate or even unethical to health-care providers and thus facilitate better communication and collaboration between parents and clinicians</w:t>
      </w:r>
      <w:r w:rsidRPr="090C4359" w:rsidR="00EA38EB">
        <w:rPr>
          <w:rFonts w:asciiTheme="minorHAnsi" w:hAnsiTheme="minorHAnsi" w:cstheme="minorBidi"/>
          <w:sz w:val="22"/>
          <w:szCs w:val="22"/>
        </w:rPr>
        <w:t>’.</w:t>
      </w:r>
      <w:r w:rsidRPr="090C4359" w:rsidR="00EA38EB">
        <w:rPr>
          <w:rStyle w:val="FootnoteReference"/>
          <w:rFonts w:asciiTheme="minorHAnsi" w:hAnsiTheme="minorHAnsi" w:cstheme="minorBidi"/>
          <w:sz w:val="22"/>
          <w:szCs w:val="22"/>
        </w:rPr>
        <w:footnoteReference w:id="257"/>
      </w:r>
      <w:r w:rsidRPr="090C4359" w:rsidR="00EC767C">
        <w:rPr>
          <w:rFonts w:asciiTheme="minorHAnsi" w:hAnsiTheme="minorHAnsi" w:cstheme="minorBidi"/>
          <w:sz w:val="22"/>
          <w:szCs w:val="22"/>
        </w:rPr>
        <w:t xml:space="preserve"> </w:t>
      </w:r>
      <w:r w:rsidRPr="090C4359" w:rsidR="00AB2CC8">
        <w:rPr>
          <w:rFonts w:asciiTheme="minorHAnsi" w:hAnsiTheme="minorHAnsi" w:cstheme="minorBidi"/>
          <w:sz w:val="22"/>
          <w:szCs w:val="22"/>
        </w:rPr>
        <w:t>Relating back to the discussion</w:t>
      </w:r>
      <w:r w:rsidRPr="090C4359" w:rsidR="0036137C">
        <w:rPr>
          <w:rFonts w:asciiTheme="minorHAnsi" w:hAnsiTheme="minorHAnsi" w:cstheme="minorBidi"/>
          <w:sz w:val="22"/>
          <w:szCs w:val="22"/>
        </w:rPr>
        <w:t xml:space="preserve"> in the Causes section above,</w:t>
      </w:r>
      <w:r w:rsidRPr="090C4359" w:rsidR="005236C5">
        <w:rPr>
          <w:rFonts w:asciiTheme="minorHAnsi" w:hAnsiTheme="minorHAnsi" w:cstheme="minorBidi"/>
          <w:sz w:val="22"/>
          <w:szCs w:val="22"/>
        </w:rPr>
        <w:t xml:space="preserve"> </w:t>
      </w:r>
      <w:r w:rsidRPr="090C4359" w:rsidR="00AB2CC8">
        <w:rPr>
          <w:rFonts w:asciiTheme="minorHAnsi" w:hAnsiTheme="minorHAnsi" w:cstheme="minorBidi"/>
          <w:sz w:val="22"/>
          <w:szCs w:val="22"/>
        </w:rPr>
        <w:t xml:space="preserve">on parental </w:t>
      </w:r>
      <w:r w:rsidRPr="090C4359" w:rsidR="0036137C">
        <w:rPr>
          <w:rFonts w:asciiTheme="minorHAnsi" w:hAnsiTheme="minorHAnsi" w:cstheme="minorBidi"/>
          <w:sz w:val="22"/>
          <w:szCs w:val="22"/>
        </w:rPr>
        <w:t xml:space="preserve">understandings of </w:t>
      </w:r>
      <w:r w:rsidRPr="090C4359" w:rsidR="00AB2CC8">
        <w:rPr>
          <w:rFonts w:asciiTheme="minorHAnsi" w:hAnsiTheme="minorHAnsi" w:cstheme="minorBidi"/>
          <w:sz w:val="22"/>
          <w:szCs w:val="22"/>
        </w:rPr>
        <w:t xml:space="preserve">hope and </w:t>
      </w:r>
      <w:r w:rsidRPr="090C4359" w:rsidR="0036137C">
        <w:rPr>
          <w:rFonts w:asciiTheme="minorHAnsi" w:hAnsiTheme="minorHAnsi" w:cstheme="minorBidi"/>
          <w:sz w:val="22"/>
          <w:szCs w:val="22"/>
        </w:rPr>
        <w:t xml:space="preserve"> “visiting </w:t>
      </w:r>
      <w:r w:rsidRPr="090C4359" w:rsidR="00AB2CC8">
        <w:rPr>
          <w:rFonts w:asciiTheme="minorHAnsi" w:hAnsiTheme="minorHAnsi" w:cstheme="minorBidi"/>
          <w:sz w:val="22"/>
          <w:szCs w:val="22"/>
        </w:rPr>
        <w:t>reality</w:t>
      </w:r>
      <w:r w:rsidRPr="090C4359" w:rsidR="0036137C">
        <w:rPr>
          <w:rFonts w:asciiTheme="minorHAnsi" w:hAnsiTheme="minorHAnsi" w:cstheme="minorBidi"/>
          <w:sz w:val="22"/>
          <w:szCs w:val="22"/>
        </w:rPr>
        <w:t>” as a factor in disagreement, Katz et al suggest that</w:t>
      </w:r>
      <w:r w:rsidRPr="090C4359" w:rsidR="00302FBE">
        <w:rPr>
          <w:rFonts w:asciiTheme="minorHAnsi" w:hAnsiTheme="minorHAnsi" w:cstheme="minorBidi"/>
          <w:sz w:val="22"/>
          <w:szCs w:val="22"/>
        </w:rPr>
        <w:t xml:space="preserve"> </w:t>
      </w:r>
      <w:r w:rsidRPr="090C4359" w:rsidR="004841E3">
        <w:rPr>
          <w:rFonts w:asciiTheme="minorHAnsi" w:hAnsiTheme="minorHAnsi" w:cstheme="minorBidi"/>
          <w:sz w:val="22"/>
          <w:szCs w:val="22"/>
        </w:rPr>
        <w:t xml:space="preserve">whilst </w:t>
      </w:r>
      <w:r w:rsidRPr="090C4359" w:rsidR="00302FBE">
        <w:rPr>
          <w:rFonts w:asciiTheme="minorHAnsi" w:hAnsiTheme="minorHAnsi" w:cstheme="minorBidi"/>
          <w:sz w:val="22"/>
          <w:szCs w:val="22"/>
        </w:rPr>
        <w:t>the hope and “good parent” literature can help to fill in k</w:t>
      </w:r>
      <w:r w:rsidRPr="090C4359" w:rsidR="00BB59E2">
        <w:rPr>
          <w:rFonts w:asciiTheme="minorHAnsi" w:hAnsiTheme="minorHAnsi" w:cstheme="minorBidi"/>
          <w:sz w:val="22"/>
          <w:szCs w:val="22"/>
        </w:rPr>
        <w:t>nowledge gaps</w:t>
      </w:r>
      <w:r w:rsidRPr="090C4359" w:rsidR="00632527">
        <w:rPr>
          <w:rFonts w:asciiTheme="minorHAnsi" w:hAnsiTheme="minorHAnsi" w:cstheme="minorBidi"/>
          <w:sz w:val="22"/>
          <w:szCs w:val="22"/>
        </w:rPr>
        <w:t>:</w:t>
      </w:r>
    </w:p>
    <w:p w:rsidRPr="008E20B9" w:rsidR="008E20B9" w:rsidP="008E20B9" w:rsidRDefault="008E20B9" w14:paraId="2DA38FD2" w14:textId="77777777">
      <w:pPr>
        <w:pStyle w:val="Normal0"/>
        <w:rPr>
          <w:rFonts w:cstheme="minorHAnsi"/>
          <w:sz w:val="22"/>
          <w:szCs w:val="22"/>
        </w:rPr>
      </w:pPr>
    </w:p>
    <w:p w:rsidRPr="008E20B9" w:rsidR="004C0CAC" w:rsidP="00A06F85" w:rsidRDefault="00632527" w14:paraId="3E3BF626" w14:textId="041ACF36">
      <w:pPr>
        <w:pStyle w:val="Normal0"/>
        <w:ind w:left="1440"/>
        <w:rPr>
          <w:rFonts w:asciiTheme="minorHAnsi" w:hAnsiTheme="minorHAnsi" w:cstheme="minorHAnsi"/>
          <w:sz w:val="22"/>
          <w:szCs w:val="22"/>
        </w:rPr>
      </w:pPr>
      <w:r w:rsidRPr="008E20B9">
        <w:rPr>
          <w:rFonts w:asciiTheme="minorHAnsi" w:hAnsiTheme="minorHAnsi" w:cstheme="minorHAnsi"/>
          <w:sz w:val="22"/>
          <w:szCs w:val="22"/>
        </w:rPr>
        <w:t xml:space="preserve">The </w:t>
      </w:r>
      <w:r w:rsidRPr="008E20B9" w:rsidR="00162A43">
        <w:rPr>
          <w:rFonts w:asciiTheme="minorHAnsi" w:hAnsiTheme="minorHAnsi" w:cstheme="minorHAnsi"/>
          <w:sz w:val="22"/>
          <w:szCs w:val="22"/>
        </w:rPr>
        <w:t xml:space="preserve">missing piece of the puzzle may be the extent to which parents contemplate what clinicians perceive to be the ‘reality’ of their child’s illness, including the potential or likely death of their child. Some parents seem to spend a lot of time thinking about these concepts, some can only ‘visit’ them from time to time, and others cannot think about them at all. Clinicians’ motivation for parents to ‘visit’ such ‘reality’ stems from the desire to emotionally and intellectually prepare them for the future, and facilitate informed decision-making. However, this may be at odds with some families’ avoidance of ‘reality’ as a protective measure. Clinicians may ﬁnd themselves talking at cross purposes with parents who are not able to contemplate ‘reality’ in that moment but on another day, the conversation may be very different. </w:t>
      </w:r>
      <w:r w:rsidRPr="008E20B9" w:rsidR="00A06F85">
        <w:rPr>
          <w:rStyle w:val="FootnoteReference"/>
          <w:rFonts w:asciiTheme="minorHAnsi" w:hAnsiTheme="minorHAnsi" w:cstheme="minorHAnsi"/>
          <w:sz w:val="22"/>
          <w:szCs w:val="22"/>
        </w:rPr>
        <w:footnoteReference w:id="258"/>
      </w:r>
    </w:p>
    <w:p w:rsidRPr="008E20B9" w:rsidR="00DE5716" w:rsidP="00DE5716" w:rsidRDefault="00DE5716" w14:paraId="53358BE3" w14:textId="77777777">
      <w:pPr>
        <w:pStyle w:val="ListParagraph"/>
        <w:rPr>
          <w:rFonts w:cstheme="minorHAnsi"/>
        </w:rPr>
      </w:pPr>
    </w:p>
    <w:p w:rsidRPr="00763E94" w:rsidR="00342F3B" w:rsidP="00A139C1" w:rsidRDefault="005A0CA1" w14:paraId="3FF4EA75" w14:textId="5541B46C">
      <w:pPr>
        <w:pStyle w:val="Normal0"/>
        <w:numPr>
          <w:ilvl w:val="0"/>
          <w:numId w:val="2"/>
        </w:numPr>
        <w:jc w:val="both"/>
        <w:rPr>
          <w:rFonts w:asciiTheme="minorHAnsi" w:hAnsiTheme="minorHAnsi" w:cstheme="minorHAnsi"/>
          <w:sz w:val="22"/>
          <w:szCs w:val="22"/>
        </w:rPr>
      </w:pPr>
      <w:r w:rsidRPr="090C4359">
        <w:rPr>
          <w:rFonts w:asciiTheme="minorHAnsi" w:hAnsiTheme="minorHAnsi" w:cstheme="minorBidi"/>
          <w:sz w:val="22"/>
          <w:szCs w:val="22"/>
        </w:rPr>
        <w:t xml:space="preserve">On a practical level, there is agreement in the literature </w:t>
      </w:r>
      <w:r w:rsidRPr="090C4359" w:rsidR="00390770">
        <w:rPr>
          <w:rFonts w:asciiTheme="minorHAnsi" w:hAnsiTheme="minorHAnsi" w:cstheme="minorBidi"/>
          <w:sz w:val="22"/>
          <w:szCs w:val="22"/>
        </w:rPr>
        <w:t>on the benefits of</w:t>
      </w:r>
      <w:r w:rsidRPr="090C4359">
        <w:rPr>
          <w:rFonts w:asciiTheme="minorHAnsi" w:hAnsiTheme="minorHAnsi" w:cstheme="minorBidi"/>
          <w:sz w:val="22"/>
          <w:szCs w:val="22"/>
        </w:rPr>
        <w:t xml:space="preserve"> improving communication</w:t>
      </w:r>
      <w:r w:rsidRPr="090C4359" w:rsidR="00E5369D">
        <w:rPr>
          <w:rFonts w:asciiTheme="minorHAnsi" w:hAnsiTheme="minorHAnsi" w:cstheme="minorBidi"/>
          <w:sz w:val="22"/>
          <w:szCs w:val="22"/>
        </w:rPr>
        <w:t xml:space="preserve"> and </w:t>
      </w:r>
      <w:r w:rsidRPr="090C4359" w:rsidR="00C708DD">
        <w:rPr>
          <w:rFonts w:asciiTheme="minorHAnsi" w:hAnsiTheme="minorHAnsi" w:cstheme="minorBidi"/>
          <w:sz w:val="22"/>
          <w:szCs w:val="22"/>
        </w:rPr>
        <w:t>ethics</w:t>
      </w:r>
      <w:r w:rsidRPr="090C4359" w:rsidR="00E5369D">
        <w:rPr>
          <w:rFonts w:asciiTheme="minorHAnsi" w:hAnsiTheme="minorHAnsi" w:cstheme="minorBidi"/>
          <w:sz w:val="22"/>
          <w:szCs w:val="22"/>
        </w:rPr>
        <w:t xml:space="preserve"> training</w:t>
      </w:r>
      <w:r w:rsidRPr="090C4359" w:rsidR="00C708DD">
        <w:rPr>
          <w:rFonts w:asciiTheme="minorHAnsi" w:hAnsiTheme="minorHAnsi" w:cstheme="minorBidi"/>
          <w:sz w:val="22"/>
          <w:szCs w:val="22"/>
        </w:rPr>
        <w:t xml:space="preserve">, </w:t>
      </w:r>
      <w:r w:rsidRPr="090C4359" w:rsidR="00E5369D">
        <w:rPr>
          <w:rFonts w:asciiTheme="minorHAnsi" w:hAnsiTheme="minorHAnsi" w:cstheme="minorBidi"/>
          <w:sz w:val="22"/>
          <w:szCs w:val="22"/>
        </w:rPr>
        <w:t xml:space="preserve">for the latter </w:t>
      </w:r>
      <w:r w:rsidRPr="090C4359" w:rsidR="00C708DD">
        <w:rPr>
          <w:rFonts w:asciiTheme="minorHAnsi" w:hAnsiTheme="minorHAnsi" w:cstheme="minorBidi"/>
          <w:sz w:val="22"/>
          <w:szCs w:val="22"/>
        </w:rPr>
        <w:t xml:space="preserve">particularly </w:t>
      </w:r>
      <w:r w:rsidRPr="090C4359" w:rsidR="00F76B4B">
        <w:rPr>
          <w:rFonts w:asciiTheme="minorHAnsi" w:hAnsiTheme="minorHAnsi" w:cstheme="minorBidi"/>
          <w:sz w:val="22"/>
          <w:szCs w:val="22"/>
        </w:rPr>
        <w:t>in the difference between facts and values</w:t>
      </w:r>
      <w:r w:rsidRPr="090C4359" w:rsidR="00776E21">
        <w:rPr>
          <w:rFonts w:asciiTheme="minorHAnsi" w:hAnsiTheme="minorHAnsi" w:cstheme="minorBidi"/>
          <w:sz w:val="22"/>
          <w:szCs w:val="22"/>
        </w:rPr>
        <w:t xml:space="preserve"> and the nature of value-based disagreement</w:t>
      </w:r>
      <w:r w:rsidRPr="090C4359" w:rsidR="00A40535">
        <w:rPr>
          <w:rFonts w:asciiTheme="minorHAnsi" w:hAnsiTheme="minorHAnsi" w:cstheme="minorBidi"/>
          <w:sz w:val="22"/>
          <w:szCs w:val="22"/>
        </w:rPr>
        <w:t>.</w:t>
      </w:r>
      <w:r w:rsidRPr="090C4359" w:rsidR="002F5C69">
        <w:rPr>
          <w:rStyle w:val="FootnoteReference"/>
          <w:rFonts w:asciiTheme="minorHAnsi" w:hAnsiTheme="minorHAnsi" w:cstheme="minorBidi"/>
          <w:sz w:val="22"/>
          <w:szCs w:val="22"/>
        </w:rPr>
        <w:footnoteReference w:id="259"/>
      </w:r>
      <w:r w:rsidRPr="090C4359" w:rsidR="007F2F9F">
        <w:rPr>
          <w:rFonts w:asciiTheme="minorHAnsi" w:hAnsiTheme="minorHAnsi" w:cstheme="minorBidi"/>
          <w:sz w:val="22"/>
          <w:szCs w:val="22"/>
        </w:rPr>
        <w:t xml:space="preserve"> </w:t>
      </w:r>
      <w:r w:rsidRPr="090C4359" w:rsidR="005D5DD5">
        <w:rPr>
          <w:rFonts w:asciiTheme="minorHAnsi" w:hAnsiTheme="minorHAnsi" w:cstheme="minorBidi"/>
          <w:sz w:val="22"/>
          <w:szCs w:val="22"/>
        </w:rPr>
        <w:t>Archam</w:t>
      </w:r>
      <w:r w:rsidRPr="090C4359" w:rsidR="00854208">
        <w:rPr>
          <w:rFonts w:asciiTheme="minorHAnsi" w:hAnsiTheme="minorHAnsi" w:cstheme="minorBidi"/>
          <w:sz w:val="22"/>
          <w:szCs w:val="22"/>
        </w:rPr>
        <w:t xml:space="preserve">bault-Grenier et al’s study showed that more than 85% of the </w:t>
      </w:r>
      <w:r w:rsidRPr="090C4359" w:rsidR="004F4E52">
        <w:rPr>
          <w:rFonts w:asciiTheme="minorHAnsi" w:hAnsiTheme="minorHAnsi" w:cstheme="minorBidi"/>
          <w:sz w:val="22"/>
          <w:szCs w:val="22"/>
        </w:rPr>
        <w:t>663</w:t>
      </w:r>
      <w:r w:rsidRPr="090C4359" w:rsidR="00530F5C">
        <w:rPr>
          <w:rFonts w:asciiTheme="minorHAnsi" w:hAnsiTheme="minorHAnsi" w:cstheme="minorBidi"/>
          <w:sz w:val="22"/>
          <w:szCs w:val="22"/>
        </w:rPr>
        <w:t xml:space="preserve"> </w:t>
      </w:r>
      <w:r w:rsidRPr="090C4359" w:rsidR="00854208">
        <w:rPr>
          <w:rFonts w:asciiTheme="minorHAnsi" w:hAnsiTheme="minorHAnsi" w:cstheme="minorBidi"/>
          <w:sz w:val="22"/>
          <w:szCs w:val="22"/>
        </w:rPr>
        <w:t xml:space="preserve">respondents who had witnessed or cared for dying children </w:t>
      </w:r>
      <w:r w:rsidRPr="090C4359" w:rsidR="00817335">
        <w:rPr>
          <w:rFonts w:asciiTheme="minorHAnsi" w:hAnsiTheme="minorHAnsi" w:cstheme="minorBidi"/>
          <w:sz w:val="22"/>
          <w:szCs w:val="22"/>
        </w:rPr>
        <w:t>would find</w:t>
      </w:r>
      <w:r w:rsidRPr="090C4359" w:rsidR="00854208">
        <w:rPr>
          <w:rFonts w:asciiTheme="minorHAnsi" w:hAnsiTheme="minorHAnsi" w:cstheme="minorBidi"/>
          <w:sz w:val="22"/>
          <w:szCs w:val="22"/>
        </w:rPr>
        <w:t xml:space="preserve"> education on paediatric palliative care, ethics</w:t>
      </w:r>
      <w:r w:rsidRPr="090C4359" w:rsidR="00083E0B">
        <w:rPr>
          <w:rFonts w:asciiTheme="minorHAnsi" w:hAnsiTheme="minorHAnsi" w:cstheme="minorBidi"/>
          <w:sz w:val="22"/>
          <w:szCs w:val="22"/>
        </w:rPr>
        <w:t>,</w:t>
      </w:r>
      <w:r w:rsidRPr="090C4359" w:rsidR="00854208">
        <w:rPr>
          <w:rFonts w:asciiTheme="minorHAnsi" w:hAnsiTheme="minorHAnsi" w:cstheme="minorBidi"/>
          <w:sz w:val="22"/>
          <w:szCs w:val="22"/>
        </w:rPr>
        <w:t xml:space="preserve"> conﬂict resolution, communication and cultural differences</w:t>
      </w:r>
      <w:r w:rsidRPr="090C4359" w:rsidR="00817335">
        <w:rPr>
          <w:rFonts w:asciiTheme="minorHAnsi" w:hAnsiTheme="minorHAnsi" w:cstheme="minorBidi"/>
          <w:sz w:val="22"/>
          <w:szCs w:val="22"/>
        </w:rPr>
        <w:t xml:space="preserve"> useful</w:t>
      </w:r>
      <w:r w:rsidRPr="090C4359" w:rsidR="00AC6731">
        <w:rPr>
          <w:rFonts w:asciiTheme="minorHAnsi" w:hAnsiTheme="minorHAnsi" w:cstheme="minorBidi"/>
          <w:sz w:val="22"/>
          <w:szCs w:val="22"/>
        </w:rPr>
        <w:t>.</w:t>
      </w:r>
      <w:r w:rsidRPr="090C4359" w:rsidR="00AC6731">
        <w:rPr>
          <w:rStyle w:val="FootnoteReference"/>
          <w:rFonts w:asciiTheme="minorHAnsi" w:hAnsiTheme="minorHAnsi" w:cstheme="minorBidi"/>
          <w:sz w:val="22"/>
          <w:szCs w:val="22"/>
        </w:rPr>
        <w:footnoteReference w:id="260"/>
      </w:r>
      <w:r w:rsidRPr="090C4359" w:rsidR="00E30661">
        <w:rPr>
          <w:rFonts w:asciiTheme="minorHAnsi" w:hAnsiTheme="minorHAnsi" w:cstheme="minorBidi"/>
          <w:sz w:val="22"/>
          <w:szCs w:val="22"/>
        </w:rPr>
        <w:t xml:space="preserve"> </w:t>
      </w:r>
      <w:r w:rsidRPr="090C4359" w:rsidR="005F7CF1">
        <w:rPr>
          <w:rFonts w:asciiTheme="minorHAnsi" w:hAnsiTheme="minorHAnsi" w:cstheme="minorBidi"/>
          <w:sz w:val="22"/>
          <w:szCs w:val="22"/>
        </w:rPr>
        <w:t xml:space="preserve">Bell and Brierley </w:t>
      </w:r>
      <w:r w:rsidRPr="090C4359" w:rsidR="006C3A3B">
        <w:rPr>
          <w:rFonts w:asciiTheme="minorHAnsi" w:hAnsiTheme="minorHAnsi" w:cstheme="minorBidi"/>
          <w:sz w:val="22"/>
          <w:szCs w:val="22"/>
        </w:rPr>
        <w:t>focus on the needs of trainee doctors</w:t>
      </w:r>
      <w:r w:rsidRPr="090C4359" w:rsidR="006F030B">
        <w:rPr>
          <w:rFonts w:asciiTheme="minorHAnsi" w:hAnsiTheme="minorHAnsi" w:cstheme="minorBidi"/>
          <w:sz w:val="22"/>
          <w:szCs w:val="22"/>
        </w:rPr>
        <w:t xml:space="preserve"> </w:t>
      </w:r>
      <w:r w:rsidRPr="090C4359" w:rsidR="004F2F76">
        <w:rPr>
          <w:rFonts w:asciiTheme="minorHAnsi" w:hAnsiTheme="minorHAnsi" w:cstheme="minorBidi"/>
          <w:sz w:val="22"/>
          <w:szCs w:val="22"/>
        </w:rPr>
        <w:t>in</w:t>
      </w:r>
      <w:r w:rsidRPr="090C4359" w:rsidR="00035154">
        <w:rPr>
          <w:rFonts w:asciiTheme="minorHAnsi" w:hAnsiTheme="minorHAnsi" w:cstheme="minorBidi"/>
          <w:sz w:val="22"/>
          <w:szCs w:val="22"/>
        </w:rPr>
        <w:t xml:space="preserve"> urg</w:t>
      </w:r>
      <w:r w:rsidRPr="090C4359" w:rsidR="004F2F76">
        <w:rPr>
          <w:rFonts w:asciiTheme="minorHAnsi" w:hAnsiTheme="minorHAnsi" w:cstheme="minorBidi"/>
          <w:sz w:val="22"/>
          <w:szCs w:val="22"/>
        </w:rPr>
        <w:t>ing</w:t>
      </w:r>
      <w:r w:rsidRPr="090C4359" w:rsidR="006F030B">
        <w:rPr>
          <w:rFonts w:asciiTheme="minorHAnsi" w:hAnsiTheme="minorHAnsi" w:cstheme="minorBidi"/>
          <w:sz w:val="22"/>
          <w:szCs w:val="22"/>
        </w:rPr>
        <w:t xml:space="preserve"> the</w:t>
      </w:r>
      <w:r w:rsidRPr="090C4359" w:rsidR="00035154">
        <w:rPr>
          <w:rFonts w:asciiTheme="minorHAnsi" w:hAnsiTheme="minorHAnsi" w:cstheme="minorBidi"/>
          <w:sz w:val="22"/>
          <w:szCs w:val="22"/>
        </w:rPr>
        <w:t xml:space="preserve"> adaption of PIC training</w:t>
      </w:r>
      <w:r w:rsidRPr="090C4359" w:rsidR="00965F67">
        <w:rPr>
          <w:rFonts w:asciiTheme="minorHAnsi" w:hAnsiTheme="minorHAnsi" w:cstheme="minorBidi"/>
          <w:sz w:val="22"/>
          <w:szCs w:val="22"/>
        </w:rPr>
        <w:t xml:space="preserve"> to include</w:t>
      </w:r>
      <w:r w:rsidRPr="090C4359" w:rsidR="006F030B">
        <w:rPr>
          <w:rFonts w:asciiTheme="minorHAnsi" w:hAnsiTheme="minorHAnsi" w:cstheme="minorBidi"/>
          <w:sz w:val="22"/>
          <w:szCs w:val="22"/>
        </w:rPr>
        <w:t xml:space="preserve"> tr</w:t>
      </w:r>
      <w:r w:rsidRPr="090C4359" w:rsidR="00533305">
        <w:rPr>
          <w:rFonts w:asciiTheme="minorHAnsi" w:hAnsiTheme="minorHAnsi" w:cstheme="minorBidi"/>
          <w:sz w:val="22"/>
          <w:szCs w:val="22"/>
        </w:rPr>
        <w:t xml:space="preserve">ainees </w:t>
      </w:r>
      <w:r w:rsidRPr="090C4359" w:rsidR="00910578">
        <w:rPr>
          <w:rFonts w:asciiTheme="minorHAnsi" w:hAnsiTheme="minorHAnsi" w:cstheme="minorBidi"/>
          <w:sz w:val="22"/>
          <w:szCs w:val="22"/>
        </w:rPr>
        <w:t>‘</w:t>
      </w:r>
      <w:r w:rsidRPr="090C4359" w:rsidR="00D47194">
        <w:rPr>
          <w:rFonts w:asciiTheme="minorHAnsi" w:hAnsiTheme="minorHAnsi" w:cstheme="minorBidi"/>
          <w:sz w:val="22"/>
          <w:szCs w:val="22"/>
        </w:rPr>
        <w:t>observing difficult conversations, legal discussions and ethics meetings during their training.</w:t>
      </w:r>
      <w:r w:rsidRPr="090C4359" w:rsidR="006A09F1">
        <w:rPr>
          <w:rFonts w:asciiTheme="minorHAnsi" w:hAnsiTheme="minorHAnsi" w:cstheme="minorBidi"/>
          <w:sz w:val="22"/>
          <w:szCs w:val="22"/>
        </w:rPr>
        <w:t>’</w:t>
      </w:r>
      <w:r w:rsidRPr="090C4359" w:rsidR="006A09F1">
        <w:rPr>
          <w:rStyle w:val="FootnoteReference"/>
          <w:rFonts w:asciiTheme="minorHAnsi" w:hAnsiTheme="minorHAnsi" w:cstheme="minorBidi"/>
          <w:sz w:val="22"/>
          <w:szCs w:val="22"/>
        </w:rPr>
        <w:footnoteReference w:id="261"/>
      </w:r>
      <w:r w:rsidRPr="090C4359" w:rsidR="00035154">
        <w:rPr>
          <w:rFonts w:asciiTheme="minorHAnsi" w:hAnsiTheme="minorHAnsi" w:cstheme="minorBidi"/>
          <w:sz w:val="22"/>
          <w:szCs w:val="22"/>
        </w:rPr>
        <w:t xml:space="preserve"> </w:t>
      </w:r>
      <w:r w:rsidRPr="090C4359" w:rsidR="00FA424D">
        <w:rPr>
          <w:rFonts w:asciiTheme="minorHAnsi" w:hAnsiTheme="minorHAnsi" w:cstheme="minorBidi"/>
          <w:sz w:val="22"/>
          <w:szCs w:val="22"/>
        </w:rPr>
        <w:t>Forbat and Barclay’s study found that</w:t>
      </w:r>
      <w:r w:rsidRPr="090C4359" w:rsidR="00AC0349">
        <w:rPr>
          <w:rFonts w:asciiTheme="minorHAnsi" w:hAnsiTheme="minorHAnsi" w:cstheme="minorBidi"/>
          <w:sz w:val="22"/>
          <w:szCs w:val="22"/>
        </w:rPr>
        <w:t xml:space="preserve"> staff reported</w:t>
      </w:r>
      <w:r w:rsidRPr="090C4359" w:rsidR="00E456F0">
        <w:rPr>
          <w:rFonts w:asciiTheme="minorHAnsi" w:hAnsiTheme="minorHAnsi" w:cstheme="minorBidi"/>
          <w:sz w:val="22"/>
          <w:szCs w:val="22"/>
        </w:rPr>
        <w:t xml:space="preserve"> that training provided them with </w:t>
      </w:r>
      <w:r w:rsidRPr="090C4359" w:rsidR="00AC0349">
        <w:rPr>
          <w:rFonts w:asciiTheme="minorHAnsi" w:hAnsiTheme="minorHAnsi" w:cstheme="minorBidi"/>
          <w:sz w:val="22"/>
          <w:szCs w:val="22"/>
        </w:rPr>
        <w:t xml:space="preserve">a ‘marked advantage’ </w:t>
      </w:r>
      <w:r w:rsidRPr="090C4359" w:rsidR="00C8463E">
        <w:rPr>
          <w:rFonts w:asciiTheme="minorHAnsi" w:hAnsiTheme="minorHAnsi" w:cstheme="minorBidi"/>
          <w:sz w:val="22"/>
          <w:szCs w:val="22"/>
        </w:rPr>
        <w:t>notably in the ‘frequently neglected skills</w:t>
      </w:r>
      <w:r w:rsidRPr="090C4359" w:rsidR="00DF7315">
        <w:rPr>
          <w:rFonts w:asciiTheme="minorHAnsi" w:hAnsiTheme="minorHAnsi" w:cstheme="minorBidi"/>
          <w:sz w:val="22"/>
          <w:szCs w:val="22"/>
        </w:rPr>
        <w:t xml:space="preserve">’ </w:t>
      </w:r>
      <w:r w:rsidRPr="090C4359" w:rsidR="00C8463E">
        <w:rPr>
          <w:rFonts w:asciiTheme="minorHAnsi" w:hAnsiTheme="minorHAnsi" w:cstheme="minorBidi"/>
          <w:sz w:val="22"/>
          <w:szCs w:val="22"/>
        </w:rPr>
        <w:t>of listening and</w:t>
      </w:r>
      <w:r w:rsidRPr="090C4359" w:rsidR="00932CC1">
        <w:rPr>
          <w:rFonts w:asciiTheme="minorHAnsi" w:hAnsiTheme="minorHAnsi" w:cstheme="minorBidi"/>
          <w:sz w:val="22"/>
          <w:szCs w:val="22"/>
        </w:rPr>
        <w:t xml:space="preserve"> -taking’.</w:t>
      </w:r>
      <w:r w:rsidRPr="090C4359" w:rsidR="00FA424D">
        <w:rPr>
          <w:rStyle w:val="FootnoteReference"/>
          <w:rFonts w:asciiTheme="minorHAnsi" w:hAnsiTheme="minorHAnsi" w:cstheme="minorBidi"/>
          <w:sz w:val="22"/>
          <w:szCs w:val="22"/>
        </w:rPr>
        <w:footnoteReference w:id="262"/>
      </w:r>
      <w:r w:rsidRPr="090C4359" w:rsidR="00FA424D">
        <w:rPr>
          <w:rFonts w:asciiTheme="minorHAnsi" w:hAnsiTheme="minorHAnsi" w:cstheme="minorBidi"/>
          <w:sz w:val="22"/>
          <w:szCs w:val="22"/>
        </w:rPr>
        <w:t xml:space="preserve"> </w:t>
      </w:r>
      <w:r w:rsidRPr="090C4359" w:rsidR="001A322A">
        <w:rPr>
          <w:rFonts w:asciiTheme="minorHAnsi" w:hAnsiTheme="minorHAnsi" w:cstheme="minorBidi"/>
          <w:sz w:val="22"/>
          <w:szCs w:val="22"/>
        </w:rPr>
        <w:t>Various</w:t>
      </w:r>
      <w:r w:rsidRPr="090C4359" w:rsidR="00D72D4F">
        <w:rPr>
          <w:rFonts w:asciiTheme="minorHAnsi" w:hAnsiTheme="minorHAnsi" w:cstheme="minorBidi"/>
          <w:sz w:val="22"/>
          <w:szCs w:val="22"/>
        </w:rPr>
        <w:t xml:space="preserve"> practical</w:t>
      </w:r>
      <w:r w:rsidRPr="090C4359" w:rsidR="006F030B">
        <w:rPr>
          <w:rFonts w:asciiTheme="minorHAnsi" w:hAnsiTheme="minorHAnsi" w:cstheme="minorBidi"/>
          <w:sz w:val="22"/>
          <w:szCs w:val="22"/>
        </w:rPr>
        <w:t xml:space="preserve"> </w:t>
      </w:r>
      <w:r w:rsidRPr="090C4359" w:rsidR="00D72D4F">
        <w:rPr>
          <w:rFonts w:asciiTheme="minorHAnsi" w:hAnsiTheme="minorHAnsi" w:cstheme="minorBidi"/>
          <w:sz w:val="22"/>
          <w:szCs w:val="22"/>
        </w:rPr>
        <w:t>communication</w:t>
      </w:r>
      <w:r w:rsidRPr="090C4359" w:rsidR="001A322A">
        <w:rPr>
          <w:rFonts w:asciiTheme="minorHAnsi" w:hAnsiTheme="minorHAnsi" w:cstheme="minorBidi"/>
          <w:sz w:val="22"/>
          <w:szCs w:val="22"/>
        </w:rPr>
        <w:t xml:space="preserve"> models have been proposed, such as th</w:t>
      </w:r>
      <w:r w:rsidRPr="090C4359" w:rsidR="00846B11">
        <w:rPr>
          <w:rFonts w:asciiTheme="minorHAnsi" w:hAnsiTheme="minorHAnsi" w:cstheme="minorBidi"/>
          <w:sz w:val="22"/>
          <w:szCs w:val="22"/>
        </w:rPr>
        <w:t>e</w:t>
      </w:r>
      <w:r w:rsidRPr="090C4359" w:rsidR="001A322A">
        <w:rPr>
          <w:rFonts w:asciiTheme="minorHAnsi" w:hAnsiTheme="minorHAnsi" w:cstheme="minorBidi"/>
          <w:sz w:val="22"/>
          <w:szCs w:val="22"/>
        </w:rPr>
        <w:t xml:space="preserve"> ‘standardised approach</w:t>
      </w:r>
      <w:r w:rsidRPr="090C4359" w:rsidR="006A7FDC">
        <w:rPr>
          <w:rFonts w:asciiTheme="minorHAnsi" w:hAnsiTheme="minorHAnsi" w:cstheme="minorBidi"/>
          <w:sz w:val="22"/>
          <w:szCs w:val="22"/>
        </w:rPr>
        <w:t>’  as</w:t>
      </w:r>
      <w:r w:rsidRPr="090C4359" w:rsidR="001A322A">
        <w:rPr>
          <w:rFonts w:asciiTheme="minorHAnsi" w:hAnsiTheme="minorHAnsi" w:cstheme="minorBidi"/>
          <w:sz w:val="22"/>
          <w:szCs w:val="22"/>
        </w:rPr>
        <w:t xml:space="preserve"> discussed by Birchley et al</w:t>
      </w:r>
      <w:r w:rsidRPr="090C4359" w:rsidR="006A7FDC">
        <w:rPr>
          <w:rFonts w:asciiTheme="minorHAnsi" w:hAnsiTheme="minorHAnsi" w:cstheme="minorBidi"/>
          <w:sz w:val="22"/>
          <w:szCs w:val="22"/>
        </w:rPr>
        <w:t>,</w:t>
      </w:r>
      <w:r w:rsidRPr="090C4359" w:rsidR="00FD2530">
        <w:rPr>
          <w:rFonts w:asciiTheme="minorHAnsi" w:hAnsiTheme="minorHAnsi" w:cstheme="minorBidi"/>
          <w:sz w:val="22"/>
          <w:szCs w:val="22"/>
        </w:rPr>
        <w:t xml:space="preserve"> which provides for uniform practices in communicating with families </w:t>
      </w:r>
      <w:r w:rsidRPr="090C4359" w:rsidR="00367036">
        <w:rPr>
          <w:rFonts w:asciiTheme="minorHAnsi" w:hAnsiTheme="minorHAnsi" w:cstheme="minorBidi"/>
          <w:sz w:val="22"/>
          <w:szCs w:val="22"/>
        </w:rPr>
        <w:t>in relation to consistent messaging, assessing concerns</w:t>
      </w:r>
      <w:r w:rsidRPr="090C4359" w:rsidR="00903F50">
        <w:rPr>
          <w:rFonts w:asciiTheme="minorHAnsi" w:hAnsiTheme="minorHAnsi" w:cstheme="minorBidi"/>
          <w:sz w:val="22"/>
          <w:szCs w:val="22"/>
        </w:rPr>
        <w:t>, noting discussion</w:t>
      </w:r>
      <w:r w:rsidRPr="090C4359" w:rsidR="00034D51">
        <w:rPr>
          <w:rFonts w:asciiTheme="minorHAnsi" w:hAnsiTheme="minorHAnsi" w:cstheme="minorBidi"/>
          <w:sz w:val="22"/>
          <w:szCs w:val="22"/>
        </w:rPr>
        <w:t>s,</w:t>
      </w:r>
      <w:r w:rsidRPr="090C4359" w:rsidR="00903F50">
        <w:rPr>
          <w:rFonts w:asciiTheme="minorHAnsi" w:hAnsiTheme="minorHAnsi" w:cstheme="minorBidi"/>
          <w:sz w:val="22"/>
          <w:szCs w:val="22"/>
        </w:rPr>
        <w:t xml:space="preserve"> and utilising ‘</w:t>
      </w:r>
      <w:r w:rsidRPr="090C4359" w:rsidR="00DC58EE">
        <w:rPr>
          <w:rFonts w:asciiTheme="minorHAnsi" w:hAnsiTheme="minorHAnsi" w:cstheme="minorBidi"/>
          <w:sz w:val="22"/>
          <w:szCs w:val="22"/>
        </w:rPr>
        <w:t>fa</w:t>
      </w:r>
      <w:r w:rsidRPr="090C4359" w:rsidR="00903F50">
        <w:rPr>
          <w:rFonts w:asciiTheme="minorHAnsi" w:hAnsiTheme="minorHAnsi" w:cstheme="minorBidi"/>
          <w:sz w:val="22"/>
          <w:szCs w:val="22"/>
        </w:rPr>
        <w:t>mily held records’ to permit families to document</w:t>
      </w:r>
      <w:r w:rsidRPr="090C4359" w:rsidR="00E733DC">
        <w:rPr>
          <w:rFonts w:asciiTheme="minorHAnsi" w:hAnsiTheme="minorHAnsi" w:cstheme="minorBidi"/>
          <w:sz w:val="22"/>
          <w:szCs w:val="22"/>
        </w:rPr>
        <w:t xml:space="preserve"> meetings and note their reflections and understandings.</w:t>
      </w:r>
      <w:r w:rsidRPr="090C4359" w:rsidR="00DC58EE">
        <w:rPr>
          <w:rStyle w:val="FootnoteReference"/>
          <w:rFonts w:asciiTheme="minorHAnsi" w:hAnsiTheme="minorHAnsi" w:cstheme="minorBidi"/>
          <w:sz w:val="22"/>
          <w:szCs w:val="22"/>
        </w:rPr>
        <w:footnoteReference w:id="263"/>
      </w:r>
      <w:r w:rsidRPr="090C4359" w:rsidR="00E733DC">
        <w:rPr>
          <w:rFonts w:asciiTheme="minorHAnsi" w:hAnsiTheme="minorHAnsi" w:cstheme="minorBidi"/>
          <w:sz w:val="22"/>
          <w:szCs w:val="22"/>
        </w:rPr>
        <w:t xml:space="preserve"> </w:t>
      </w:r>
      <w:r w:rsidRPr="090C4359" w:rsidR="00DC58EE">
        <w:rPr>
          <w:rFonts w:asciiTheme="minorHAnsi" w:hAnsiTheme="minorHAnsi" w:cstheme="minorBidi"/>
          <w:sz w:val="22"/>
          <w:szCs w:val="22"/>
        </w:rPr>
        <w:t>The authors</w:t>
      </w:r>
      <w:r w:rsidRPr="090C4359" w:rsidR="006A7FDC">
        <w:rPr>
          <w:rFonts w:asciiTheme="minorHAnsi" w:hAnsiTheme="minorHAnsi" w:cstheme="minorBidi"/>
          <w:sz w:val="22"/>
          <w:szCs w:val="22"/>
        </w:rPr>
        <w:t xml:space="preserve"> </w:t>
      </w:r>
      <w:r w:rsidRPr="090C4359" w:rsidR="00E733DC">
        <w:rPr>
          <w:rFonts w:asciiTheme="minorHAnsi" w:hAnsiTheme="minorHAnsi" w:cstheme="minorBidi"/>
          <w:sz w:val="22"/>
          <w:szCs w:val="22"/>
        </w:rPr>
        <w:t>are</w:t>
      </w:r>
      <w:r w:rsidRPr="090C4359" w:rsidR="006A7FDC">
        <w:rPr>
          <w:rFonts w:asciiTheme="minorHAnsi" w:hAnsiTheme="minorHAnsi" w:cstheme="minorBidi"/>
          <w:sz w:val="22"/>
          <w:szCs w:val="22"/>
        </w:rPr>
        <w:t xml:space="preserve"> also quick to point out that</w:t>
      </w:r>
      <w:r w:rsidRPr="090C4359" w:rsidR="001A322A">
        <w:rPr>
          <w:rFonts w:asciiTheme="minorHAnsi" w:hAnsiTheme="minorHAnsi" w:cstheme="minorBidi"/>
          <w:sz w:val="22"/>
          <w:szCs w:val="22"/>
        </w:rPr>
        <w:t xml:space="preserve"> </w:t>
      </w:r>
      <w:r w:rsidRPr="090C4359" w:rsidR="002E7146">
        <w:rPr>
          <w:rFonts w:asciiTheme="minorHAnsi" w:hAnsiTheme="minorHAnsi" w:cstheme="minorBidi"/>
          <w:sz w:val="22"/>
          <w:szCs w:val="22"/>
        </w:rPr>
        <w:t>‘</w:t>
      </w:r>
      <w:r w:rsidRPr="090C4359" w:rsidR="001A322A">
        <w:rPr>
          <w:rFonts w:asciiTheme="minorHAnsi" w:hAnsiTheme="minorHAnsi" w:cstheme="minorBidi"/>
          <w:sz w:val="22"/>
          <w:szCs w:val="22"/>
        </w:rPr>
        <w:t xml:space="preserve">this is not intended to imply a ‘one size fits all’ solution. Each family is unique </w:t>
      </w:r>
      <w:r w:rsidRPr="090C4359" w:rsidR="009C57C7">
        <w:rPr>
          <w:rFonts w:asciiTheme="minorHAnsi" w:hAnsiTheme="minorHAnsi" w:cstheme="minorBidi"/>
          <w:sz w:val="22"/>
          <w:szCs w:val="22"/>
        </w:rPr>
        <w:t xml:space="preserve">(…). </w:t>
      </w:r>
      <w:r w:rsidRPr="090C4359" w:rsidR="001A322A">
        <w:rPr>
          <w:rFonts w:asciiTheme="minorHAnsi" w:hAnsiTheme="minorHAnsi" w:cstheme="minorBidi"/>
          <w:sz w:val="22"/>
          <w:szCs w:val="22"/>
        </w:rPr>
        <w:t>There is a delicate balance between structure and intimate spontaneity that must be achieved in practice</w:t>
      </w:r>
      <w:r w:rsidRPr="090C4359" w:rsidR="002E7146">
        <w:rPr>
          <w:rFonts w:asciiTheme="minorHAnsi" w:hAnsiTheme="minorHAnsi" w:cstheme="minorBidi"/>
          <w:sz w:val="22"/>
          <w:szCs w:val="22"/>
        </w:rPr>
        <w:t xml:space="preserve">’. </w:t>
      </w:r>
      <w:r w:rsidRPr="090C4359" w:rsidR="002E7146">
        <w:rPr>
          <w:rStyle w:val="FootnoteReference"/>
          <w:rFonts w:asciiTheme="minorHAnsi" w:hAnsiTheme="minorHAnsi" w:cstheme="minorBidi"/>
          <w:sz w:val="22"/>
          <w:szCs w:val="22"/>
        </w:rPr>
        <w:footnoteReference w:id="264"/>
      </w:r>
      <w:r w:rsidRPr="090C4359" w:rsidR="00342F3B">
        <w:rPr>
          <w:rFonts w:asciiTheme="minorHAnsi" w:hAnsiTheme="minorHAnsi" w:cstheme="minorBidi"/>
          <w:sz w:val="22"/>
          <w:szCs w:val="22"/>
        </w:rPr>
        <w:t xml:space="preserve"> </w:t>
      </w:r>
      <w:r w:rsidRPr="090C4359" w:rsidR="00501237">
        <w:rPr>
          <w:rFonts w:asciiTheme="minorHAnsi" w:hAnsiTheme="minorHAnsi" w:cstheme="minorBidi"/>
          <w:sz w:val="22"/>
          <w:szCs w:val="22"/>
        </w:rPr>
        <w:t>Macintosh and McConnell suggest  ‘</w:t>
      </w:r>
      <w:r w:rsidRPr="090C4359" w:rsidR="00B207AE">
        <w:rPr>
          <w:rFonts w:asciiTheme="minorHAnsi" w:hAnsiTheme="minorHAnsi" w:cstheme="minorBidi"/>
          <w:sz w:val="22"/>
          <w:szCs w:val="22"/>
        </w:rPr>
        <w:t>c</w:t>
      </w:r>
      <w:r w:rsidRPr="090C4359" w:rsidR="00501237">
        <w:rPr>
          <w:rFonts w:asciiTheme="minorHAnsi" w:hAnsiTheme="minorHAnsi" w:cstheme="minorBidi"/>
          <w:sz w:val="22"/>
          <w:szCs w:val="22"/>
        </w:rPr>
        <w:t xml:space="preserve">ontent-oriented strategies’ as being </w:t>
      </w:r>
      <w:r w:rsidRPr="090C4359" w:rsidR="0086647B">
        <w:rPr>
          <w:rFonts w:asciiTheme="minorHAnsi" w:hAnsiTheme="minorHAnsi" w:cstheme="minorBidi"/>
          <w:sz w:val="22"/>
          <w:szCs w:val="22"/>
        </w:rPr>
        <w:t>effective as they include ‘</w:t>
      </w:r>
      <w:r w:rsidRPr="090C4359" w:rsidR="00501237">
        <w:rPr>
          <w:rFonts w:asciiTheme="minorHAnsi" w:hAnsiTheme="minorHAnsi" w:cstheme="minorBidi"/>
          <w:sz w:val="22"/>
          <w:szCs w:val="22"/>
        </w:rPr>
        <w:t>acknowledging opposing views on treatment, clarifying by providing factual information or reformulating such as reiterating what the medical team has previously said.</w:t>
      </w:r>
      <w:r w:rsidRPr="090C4359" w:rsidR="00FE0745">
        <w:rPr>
          <w:rFonts w:asciiTheme="minorHAnsi" w:hAnsiTheme="minorHAnsi" w:cstheme="minorBidi"/>
          <w:sz w:val="22"/>
          <w:szCs w:val="22"/>
        </w:rPr>
        <w:t>’</w:t>
      </w:r>
      <w:r w:rsidRPr="090C4359" w:rsidR="00FE0745">
        <w:rPr>
          <w:rStyle w:val="FootnoteReference"/>
          <w:rFonts w:asciiTheme="minorHAnsi" w:hAnsiTheme="minorHAnsi" w:cstheme="minorBidi"/>
          <w:sz w:val="22"/>
          <w:szCs w:val="22"/>
        </w:rPr>
        <w:footnoteReference w:id="265"/>
      </w:r>
      <w:r w:rsidRPr="090C4359" w:rsidR="00DE5716">
        <w:rPr>
          <w:rFonts w:asciiTheme="minorHAnsi" w:hAnsiTheme="minorHAnsi" w:cstheme="minorBidi"/>
          <w:sz w:val="22"/>
          <w:szCs w:val="22"/>
        </w:rPr>
        <w:t xml:space="preserve"> Ultimately, </w:t>
      </w:r>
      <w:r w:rsidRPr="090C4359" w:rsidR="007F2F9F">
        <w:rPr>
          <w:rFonts w:asciiTheme="minorHAnsi" w:hAnsiTheme="minorHAnsi" w:cstheme="minorBidi"/>
          <w:sz w:val="22"/>
          <w:szCs w:val="22"/>
        </w:rPr>
        <w:t xml:space="preserve">Wilkinson and Savulescu </w:t>
      </w:r>
      <w:r w:rsidRPr="090C4359" w:rsidR="00605181">
        <w:rPr>
          <w:rFonts w:asciiTheme="minorHAnsi" w:hAnsiTheme="minorHAnsi" w:cstheme="minorBidi"/>
          <w:sz w:val="22"/>
          <w:szCs w:val="22"/>
        </w:rPr>
        <w:t>conclude that ‘[w]here families feel that they are being listened to</w:t>
      </w:r>
      <w:r w:rsidRPr="090C4359" w:rsidR="00921D93">
        <w:rPr>
          <w:rFonts w:asciiTheme="minorHAnsi" w:hAnsiTheme="minorHAnsi" w:cstheme="minorBidi"/>
          <w:sz w:val="22"/>
          <w:szCs w:val="22"/>
        </w:rPr>
        <w:t>, and where they can understand a patient’s medical situation, it seems likely that families would maintain trust in the professionals and be less inclined to seek alternative views or treatments’.</w:t>
      </w:r>
      <w:r w:rsidRPr="090C4359" w:rsidR="00921D93">
        <w:rPr>
          <w:rStyle w:val="FootnoteReference"/>
          <w:rFonts w:asciiTheme="minorHAnsi" w:hAnsiTheme="minorHAnsi" w:cstheme="minorBidi"/>
          <w:sz w:val="22"/>
          <w:szCs w:val="22"/>
        </w:rPr>
        <w:footnoteReference w:id="266"/>
      </w:r>
    </w:p>
    <w:p w:rsidRPr="00763E94" w:rsidR="00C42A64" w:rsidP="00C42A64" w:rsidRDefault="00C42A64" w14:paraId="00B4BCB4" w14:textId="77777777">
      <w:pPr>
        <w:jc w:val="both"/>
        <w:rPr>
          <w:b/>
          <w:bCs/>
          <w:sz w:val="24"/>
          <w:szCs w:val="24"/>
          <w:u w:val="single"/>
        </w:rPr>
      </w:pPr>
    </w:p>
    <w:p w:rsidRPr="00763E94" w:rsidR="00344134" w:rsidP="00344134" w:rsidRDefault="00344134" w14:paraId="70FBA911" w14:textId="775774B8">
      <w:pPr>
        <w:jc w:val="both"/>
        <w:rPr>
          <w:i/>
          <w:iCs/>
          <w:sz w:val="24"/>
          <w:szCs w:val="24"/>
        </w:rPr>
      </w:pPr>
      <w:r>
        <w:rPr>
          <w:i/>
          <w:color w:val="002060"/>
          <w:sz w:val="24"/>
          <w:szCs w:val="24"/>
        </w:rPr>
        <w:t>i</w:t>
      </w:r>
      <w:r w:rsidR="00DC419B">
        <w:rPr>
          <w:i/>
          <w:color w:val="002060"/>
          <w:sz w:val="24"/>
          <w:szCs w:val="24"/>
        </w:rPr>
        <w:t>i</w:t>
      </w:r>
      <w:r>
        <w:rPr>
          <w:i/>
          <w:color w:val="002060"/>
          <w:sz w:val="24"/>
          <w:szCs w:val="24"/>
        </w:rPr>
        <w:t>)</w:t>
      </w:r>
      <w:r w:rsidR="00D87D4B">
        <w:rPr>
          <w:i/>
          <w:color w:val="002060"/>
          <w:sz w:val="24"/>
          <w:szCs w:val="24"/>
        </w:rPr>
        <w:t xml:space="preserve"> </w:t>
      </w:r>
      <w:r w:rsidR="00E302D2">
        <w:rPr>
          <w:i/>
          <w:color w:val="002060"/>
          <w:sz w:val="24"/>
          <w:szCs w:val="24"/>
        </w:rPr>
        <w:t>M</w:t>
      </w:r>
      <w:r w:rsidRPr="00CA26B2">
        <w:rPr>
          <w:i/>
          <w:color w:val="002060"/>
          <w:sz w:val="24"/>
          <w:szCs w:val="24"/>
        </w:rPr>
        <w:t>anag</w:t>
      </w:r>
      <w:r w:rsidRPr="00CA26B2" w:rsidR="00C64067">
        <w:rPr>
          <w:i/>
          <w:color w:val="002060"/>
          <w:sz w:val="24"/>
          <w:szCs w:val="24"/>
        </w:rPr>
        <w:t>erial</w:t>
      </w:r>
      <w:r w:rsidRPr="00CA26B2" w:rsidR="00E302D2">
        <w:rPr>
          <w:i/>
          <w:color w:val="002060"/>
          <w:sz w:val="24"/>
          <w:szCs w:val="24"/>
        </w:rPr>
        <w:t xml:space="preserve"> </w:t>
      </w:r>
      <w:r w:rsidRPr="00CA26B2" w:rsidR="00AB4E7A">
        <w:rPr>
          <w:i/>
          <w:color w:val="002060"/>
          <w:sz w:val="24"/>
          <w:szCs w:val="24"/>
        </w:rPr>
        <w:t>p</w:t>
      </w:r>
      <w:r w:rsidRPr="00CA26B2" w:rsidR="00E302D2">
        <w:rPr>
          <w:i/>
          <w:color w:val="002060"/>
          <w:sz w:val="24"/>
          <w:szCs w:val="24"/>
        </w:rPr>
        <w:t>rocesses</w:t>
      </w:r>
      <w:r w:rsidRPr="00CA26B2" w:rsidR="00E63E1A">
        <w:rPr>
          <w:i/>
          <w:color w:val="002060"/>
          <w:sz w:val="24"/>
          <w:szCs w:val="24"/>
        </w:rPr>
        <w:t xml:space="preserve"> and</w:t>
      </w:r>
      <w:r w:rsidRPr="00CA26B2" w:rsidR="00DC419B">
        <w:rPr>
          <w:i/>
          <w:color w:val="002060"/>
          <w:sz w:val="24"/>
          <w:szCs w:val="24"/>
        </w:rPr>
        <w:t xml:space="preserve"> Conflict </w:t>
      </w:r>
      <w:r w:rsidRPr="00CA26B2" w:rsidR="00682755">
        <w:rPr>
          <w:i/>
          <w:color w:val="002060"/>
          <w:sz w:val="24"/>
          <w:szCs w:val="24"/>
        </w:rPr>
        <w:t>Management</w:t>
      </w:r>
      <w:r w:rsidRPr="00CA26B2" w:rsidR="00DC419B">
        <w:rPr>
          <w:i/>
          <w:color w:val="002060"/>
          <w:sz w:val="24"/>
          <w:szCs w:val="24"/>
        </w:rPr>
        <w:t xml:space="preserve"> Frameworks</w:t>
      </w:r>
    </w:p>
    <w:p w:rsidRPr="00763E94" w:rsidR="00E63E1A" w:rsidP="003768ED" w:rsidRDefault="002B2C44" w14:paraId="51248AEB" w14:textId="03731660">
      <w:pPr>
        <w:pStyle w:val="Normal0"/>
        <w:numPr>
          <w:ilvl w:val="0"/>
          <w:numId w:val="2"/>
        </w:numPr>
        <w:jc w:val="both"/>
        <w:rPr>
          <w:rFonts w:asciiTheme="minorHAnsi" w:hAnsiTheme="minorHAnsi" w:cstheme="minorHAnsi"/>
          <w:sz w:val="22"/>
          <w:szCs w:val="22"/>
        </w:rPr>
      </w:pPr>
      <w:r w:rsidRPr="090C4359">
        <w:rPr>
          <w:rFonts w:asciiTheme="minorHAnsi" w:hAnsiTheme="minorHAnsi" w:cstheme="minorBidi"/>
          <w:sz w:val="22"/>
          <w:szCs w:val="22"/>
        </w:rPr>
        <w:t xml:space="preserve">Good communication can </w:t>
      </w:r>
      <w:r w:rsidRPr="090C4359" w:rsidR="00010DC6">
        <w:rPr>
          <w:rFonts w:asciiTheme="minorHAnsi" w:hAnsiTheme="minorHAnsi" w:cstheme="minorBidi"/>
          <w:sz w:val="22"/>
          <w:szCs w:val="22"/>
        </w:rPr>
        <w:t>form a part of</w:t>
      </w:r>
      <w:r w:rsidRPr="090C4359">
        <w:rPr>
          <w:rFonts w:asciiTheme="minorHAnsi" w:hAnsiTheme="minorHAnsi" w:cstheme="minorBidi"/>
          <w:sz w:val="22"/>
          <w:szCs w:val="22"/>
        </w:rPr>
        <w:t xml:space="preserve"> </w:t>
      </w:r>
      <w:r w:rsidRPr="090C4359" w:rsidR="00490C15">
        <w:rPr>
          <w:rFonts w:asciiTheme="minorHAnsi" w:hAnsiTheme="minorHAnsi" w:cstheme="minorBidi"/>
          <w:sz w:val="22"/>
          <w:szCs w:val="22"/>
        </w:rPr>
        <w:t xml:space="preserve">larger “Conflict </w:t>
      </w:r>
      <w:r w:rsidRPr="090C4359" w:rsidR="00C64067">
        <w:rPr>
          <w:rFonts w:asciiTheme="minorHAnsi" w:hAnsiTheme="minorHAnsi" w:cstheme="minorBidi"/>
          <w:sz w:val="22"/>
          <w:szCs w:val="22"/>
        </w:rPr>
        <w:t>Management</w:t>
      </w:r>
      <w:r w:rsidRPr="090C4359" w:rsidR="00490C15">
        <w:rPr>
          <w:rFonts w:asciiTheme="minorHAnsi" w:hAnsiTheme="minorHAnsi" w:cstheme="minorBidi"/>
          <w:sz w:val="22"/>
          <w:szCs w:val="22"/>
        </w:rPr>
        <w:t xml:space="preserve"> Frameworks”</w:t>
      </w:r>
      <w:r w:rsidRPr="090C4359" w:rsidR="006656E7">
        <w:rPr>
          <w:rFonts w:asciiTheme="minorHAnsi" w:hAnsiTheme="minorHAnsi" w:cstheme="minorBidi"/>
          <w:sz w:val="22"/>
          <w:szCs w:val="22"/>
        </w:rPr>
        <w:t>(CMF)</w:t>
      </w:r>
      <w:r w:rsidRPr="090C4359" w:rsidR="00DB2468">
        <w:rPr>
          <w:rFonts w:asciiTheme="minorHAnsi" w:hAnsiTheme="minorHAnsi" w:cstheme="minorBidi"/>
          <w:sz w:val="22"/>
          <w:szCs w:val="22"/>
        </w:rPr>
        <w:t>, which Macintosh and McConnell define as</w:t>
      </w:r>
      <w:r w:rsidRPr="090C4359" w:rsidR="00DE165F">
        <w:rPr>
          <w:rFonts w:asciiTheme="minorHAnsi" w:hAnsiTheme="minorHAnsi" w:cstheme="minorBidi"/>
          <w:sz w:val="22"/>
          <w:szCs w:val="22"/>
        </w:rPr>
        <w:t xml:space="preserve"> ‘a tool, which can be tailored to individual institutions</w:t>
      </w:r>
      <w:r w:rsidRPr="090C4359" w:rsidR="00DE165F">
        <w:rPr>
          <w:rFonts w:asciiTheme="minorHAnsi" w:hAnsiTheme="minorHAnsi" w:cstheme="minorBidi"/>
        </w:rPr>
        <w:t xml:space="preserve"> </w:t>
      </w:r>
      <w:r w:rsidRPr="090C4359" w:rsidR="00DE165F">
        <w:rPr>
          <w:rFonts w:asciiTheme="minorHAnsi" w:hAnsiTheme="minorHAnsi" w:cstheme="minorBidi"/>
          <w:sz w:val="22"/>
          <w:szCs w:val="22"/>
        </w:rPr>
        <w:t xml:space="preserve">with the aim to resolve difficulties at ward level.’ </w:t>
      </w:r>
      <w:r w:rsidRPr="090C4359" w:rsidR="00DE165F">
        <w:rPr>
          <w:rStyle w:val="FootnoteReference"/>
          <w:rFonts w:asciiTheme="minorHAnsi" w:hAnsiTheme="minorHAnsi" w:cstheme="minorBidi"/>
          <w:sz w:val="22"/>
          <w:szCs w:val="22"/>
        </w:rPr>
        <w:footnoteReference w:id="267"/>
      </w:r>
      <w:r w:rsidRPr="090C4359" w:rsidR="00DB2468">
        <w:rPr>
          <w:rFonts w:asciiTheme="minorHAnsi" w:hAnsiTheme="minorHAnsi" w:cstheme="minorBidi"/>
          <w:sz w:val="22"/>
          <w:szCs w:val="22"/>
        </w:rPr>
        <w:t xml:space="preserve"> They </w:t>
      </w:r>
      <w:r w:rsidRPr="090C4359" w:rsidR="00B17C26">
        <w:rPr>
          <w:rFonts w:asciiTheme="minorHAnsi" w:hAnsiTheme="minorHAnsi" w:cstheme="minorBidi"/>
          <w:sz w:val="22"/>
          <w:szCs w:val="22"/>
        </w:rPr>
        <w:t>urge</w:t>
      </w:r>
      <w:r w:rsidRPr="090C4359" w:rsidR="00DB091A">
        <w:rPr>
          <w:rFonts w:asciiTheme="minorHAnsi" w:hAnsiTheme="minorHAnsi" w:cstheme="minorBidi"/>
          <w:sz w:val="22"/>
          <w:szCs w:val="22"/>
        </w:rPr>
        <w:t xml:space="preserve"> healthcare professionals to recognise the early warning signs</w:t>
      </w:r>
      <w:r w:rsidRPr="090C4359" w:rsidR="00037FEA">
        <w:rPr>
          <w:rFonts w:asciiTheme="minorHAnsi" w:hAnsiTheme="minorHAnsi" w:cstheme="minorBidi"/>
          <w:sz w:val="22"/>
          <w:szCs w:val="22"/>
        </w:rPr>
        <w:t xml:space="preserve"> of conflict, such as avoidance, </w:t>
      </w:r>
      <w:r w:rsidRPr="090C4359" w:rsidR="000743CD">
        <w:rPr>
          <w:rFonts w:asciiTheme="minorHAnsi" w:hAnsiTheme="minorHAnsi" w:cstheme="minorBidi"/>
          <w:sz w:val="22"/>
          <w:szCs w:val="22"/>
        </w:rPr>
        <w:t>or families trying to micromanage</w:t>
      </w:r>
      <w:r w:rsidRPr="090C4359" w:rsidR="005D70B8">
        <w:rPr>
          <w:rFonts w:asciiTheme="minorHAnsi" w:hAnsiTheme="minorHAnsi" w:cstheme="minorBidi"/>
          <w:sz w:val="22"/>
          <w:szCs w:val="22"/>
        </w:rPr>
        <w:t xml:space="preserve"> or play professionals off against each other, and to </w:t>
      </w:r>
      <w:r w:rsidRPr="090C4359" w:rsidR="00D25B4B">
        <w:rPr>
          <w:rFonts w:asciiTheme="minorHAnsi" w:hAnsiTheme="minorHAnsi" w:cstheme="minorBidi"/>
          <w:sz w:val="22"/>
          <w:szCs w:val="22"/>
        </w:rPr>
        <w:t xml:space="preserve">respond </w:t>
      </w:r>
      <w:r w:rsidRPr="090C4359" w:rsidR="00DC7B48">
        <w:rPr>
          <w:rFonts w:asciiTheme="minorHAnsi" w:hAnsiTheme="minorHAnsi" w:cstheme="minorBidi"/>
          <w:sz w:val="22"/>
          <w:szCs w:val="22"/>
        </w:rPr>
        <w:t>quickly,</w:t>
      </w:r>
      <w:r w:rsidRPr="090C4359" w:rsidR="00D25B4B">
        <w:rPr>
          <w:rFonts w:asciiTheme="minorHAnsi" w:hAnsiTheme="minorHAnsi" w:cstheme="minorBidi"/>
          <w:sz w:val="22"/>
          <w:szCs w:val="22"/>
        </w:rPr>
        <w:t xml:space="preserve"> </w:t>
      </w:r>
      <w:r w:rsidRPr="090C4359" w:rsidR="00EF00C3">
        <w:rPr>
          <w:rFonts w:asciiTheme="minorHAnsi" w:hAnsiTheme="minorHAnsi" w:cstheme="minorBidi"/>
          <w:sz w:val="22"/>
          <w:szCs w:val="22"/>
        </w:rPr>
        <w:t>using</w:t>
      </w:r>
      <w:r w:rsidRPr="090C4359" w:rsidR="00D25B4B">
        <w:rPr>
          <w:rFonts w:asciiTheme="minorHAnsi" w:hAnsiTheme="minorHAnsi" w:cstheme="minorBidi"/>
          <w:sz w:val="22"/>
          <w:szCs w:val="22"/>
        </w:rPr>
        <w:t xml:space="preserve"> frameworks to </w:t>
      </w:r>
      <w:r w:rsidRPr="090C4359" w:rsidR="006D396C">
        <w:rPr>
          <w:rFonts w:asciiTheme="minorHAnsi" w:hAnsiTheme="minorHAnsi" w:cstheme="minorBidi"/>
          <w:sz w:val="22"/>
          <w:szCs w:val="22"/>
        </w:rPr>
        <w:t>help resolve conflict and reduce staff burnout.</w:t>
      </w:r>
      <w:r w:rsidRPr="090C4359" w:rsidR="00257CCB">
        <w:rPr>
          <w:rStyle w:val="FootnoteReference"/>
          <w:rFonts w:asciiTheme="minorHAnsi" w:hAnsiTheme="minorHAnsi" w:cstheme="minorBidi"/>
          <w:sz w:val="22"/>
          <w:szCs w:val="22"/>
        </w:rPr>
        <w:footnoteReference w:id="268"/>
      </w:r>
      <w:r w:rsidRPr="090C4359" w:rsidR="00EF00C3">
        <w:rPr>
          <w:rFonts w:asciiTheme="minorHAnsi" w:hAnsiTheme="minorHAnsi" w:cstheme="minorBidi"/>
          <w:sz w:val="22"/>
          <w:szCs w:val="22"/>
        </w:rPr>
        <w:t xml:space="preserve"> Elements of the framework may also include</w:t>
      </w:r>
      <w:r w:rsidRPr="090C4359" w:rsidR="000B41EE">
        <w:rPr>
          <w:rFonts w:asciiTheme="minorHAnsi" w:hAnsiTheme="minorHAnsi" w:cstheme="minorBidi"/>
          <w:sz w:val="22"/>
          <w:szCs w:val="22"/>
        </w:rPr>
        <w:t xml:space="preserve"> provi</w:t>
      </w:r>
      <w:r w:rsidRPr="090C4359" w:rsidR="00183D35">
        <w:rPr>
          <w:rFonts w:asciiTheme="minorHAnsi" w:hAnsiTheme="minorHAnsi" w:cstheme="minorBidi"/>
          <w:sz w:val="22"/>
          <w:szCs w:val="22"/>
        </w:rPr>
        <w:t>sion</w:t>
      </w:r>
      <w:r w:rsidRPr="090C4359" w:rsidR="000B41EE">
        <w:rPr>
          <w:rFonts w:asciiTheme="minorHAnsi" w:hAnsiTheme="minorHAnsi" w:cstheme="minorBidi"/>
          <w:sz w:val="22"/>
          <w:szCs w:val="22"/>
        </w:rPr>
        <w:t xml:space="preserve"> of</w:t>
      </w:r>
      <w:r w:rsidRPr="090C4359" w:rsidR="00AF0FC3">
        <w:rPr>
          <w:rFonts w:asciiTheme="minorHAnsi" w:hAnsiTheme="minorHAnsi" w:cstheme="minorBidi"/>
          <w:sz w:val="22"/>
          <w:szCs w:val="22"/>
        </w:rPr>
        <w:t xml:space="preserve"> </w:t>
      </w:r>
      <w:r w:rsidRPr="090C4359" w:rsidR="004B576F">
        <w:rPr>
          <w:rFonts w:asciiTheme="minorHAnsi" w:hAnsiTheme="minorHAnsi" w:cstheme="minorBidi"/>
          <w:sz w:val="22"/>
          <w:szCs w:val="22"/>
        </w:rPr>
        <w:t>a liaison or key worker, a single clinical lead</w:t>
      </w:r>
      <w:r w:rsidRPr="090C4359" w:rsidR="003733CE">
        <w:rPr>
          <w:rFonts w:asciiTheme="minorHAnsi" w:hAnsiTheme="minorHAnsi" w:cstheme="minorBidi"/>
          <w:sz w:val="22"/>
          <w:szCs w:val="22"/>
        </w:rPr>
        <w:t>,</w:t>
      </w:r>
      <w:r w:rsidRPr="090C4359" w:rsidR="007D1FF1">
        <w:rPr>
          <w:rStyle w:val="FootnoteReference"/>
          <w:rFonts w:asciiTheme="minorHAnsi" w:hAnsiTheme="minorHAnsi" w:cstheme="minorBidi"/>
          <w:sz w:val="22"/>
          <w:szCs w:val="22"/>
        </w:rPr>
        <w:footnoteReference w:id="269"/>
      </w:r>
      <w:r w:rsidRPr="090C4359" w:rsidR="00F90BC4">
        <w:rPr>
          <w:rFonts w:asciiTheme="minorHAnsi" w:hAnsiTheme="minorHAnsi" w:cstheme="minorBidi"/>
          <w:sz w:val="22"/>
          <w:szCs w:val="22"/>
        </w:rPr>
        <w:t xml:space="preserve"> and </w:t>
      </w:r>
      <w:r w:rsidRPr="090C4359" w:rsidR="004B576F">
        <w:rPr>
          <w:rFonts w:asciiTheme="minorHAnsi" w:hAnsiTheme="minorHAnsi" w:cstheme="minorBidi"/>
          <w:sz w:val="22"/>
          <w:szCs w:val="22"/>
        </w:rPr>
        <w:t>earlier involvement of palliative care teams</w:t>
      </w:r>
      <w:r w:rsidRPr="090C4359" w:rsidR="005D2F7C">
        <w:rPr>
          <w:rFonts w:asciiTheme="minorHAnsi" w:hAnsiTheme="minorHAnsi" w:cstheme="minorBidi"/>
          <w:sz w:val="22"/>
          <w:szCs w:val="22"/>
        </w:rPr>
        <w:t>.</w:t>
      </w:r>
      <w:r w:rsidRPr="090C4359" w:rsidR="00DD1557">
        <w:rPr>
          <w:rStyle w:val="FootnoteReference"/>
          <w:rFonts w:asciiTheme="minorHAnsi" w:hAnsiTheme="minorHAnsi" w:cstheme="minorBidi"/>
          <w:sz w:val="22"/>
          <w:szCs w:val="22"/>
        </w:rPr>
        <w:footnoteReference w:id="270"/>
      </w:r>
      <w:r w:rsidRPr="090C4359" w:rsidR="00F56EEE">
        <w:rPr>
          <w:rFonts w:asciiTheme="minorHAnsi" w:hAnsiTheme="minorHAnsi" w:cstheme="minorBidi"/>
          <w:sz w:val="22"/>
          <w:szCs w:val="22"/>
        </w:rPr>
        <w:t xml:space="preserve"> </w:t>
      </w:r>
      <w:r w:rsidRPr="090C4359" w:rsidR="005D2F7C">
        <w:rPr>
          <w:rFonts w:asciiTheme="minorHAnsi" w:hAnsiTheme="minorHAnsi" w:cstheme="minorBidi"/>
          <w:sz w:val="22"/>
          <w:szCs w:val="22"/>
        </w:rPr>
        <w:t>Additionally, Gamble and Pruski</w:t>
      </w:r>
      <w:r w:rsidRPr="090C4359" w:rsidR="00B469F8">
        <w:rPr>
          <w:rFonts w:asciiTheme="minorHAnsi" w:hAnsiTheme="minorHAnsi" w:cstheme="minorBidi"/>
          <w:sz w:val="22"/>
          <w:szCs w:val="22"/>
        </w:rPr>
        <w:t xml:space="preserve"> suggest</w:t>
      </w:r>
      <w:r w:rsidRPr="090C4359" w:rsidR="00E61653">
        <w:rPr>
          <w:rFonts w:asciiTheme="minorHAnsi" w:hAnsiTheme="minorHAnsi" w:cstheme="minorBidi"/>
          <w:sz w:val="22"/>
          <w:szCs w:val="22"/>
        </w:rPr>
        <w:t xml:space="preserve"> structured de-briefing sessions for staff</w:t>
      </w:r>
      <w:r w:rsidRPr="090C4359" w:rsidR="002337AE">
        <w:rPr>
          <w:rFonts w:asciiTheme="minorHAnsi" w:hAnsiTheme="minorHAnsi" w:cstheme="minorBidi"/>
          <w:sz w:val="22"/>
          <w:szCs w:val="22"/>
        </w:rPr>
        <w:t>,</w:t>
      </w:r>
      <w:r w:rsidRPr="090C4359" w:rsidR="00E61653">
        <w:rPr>
          <w:rFonts w:asciiTheme="minorHAnsi" w:hAnsiTheme="minorHAnsi" w:cstheme="minorBidi"/>
          <w:sz w:val="22"/>
          <w:szCs w:val="22"/>
        </w:rPr>
        <w:t xml:space="preserve"> and </w:t>
      </w:r>
      <w:r w:rsidRPr="090C4359" w:rsidR="001D1336">
        <w:rPr>
          <w:rFonts w:asciiTheme="minorHAnsi" w:hAnsiTheme="minorHAnsi" w:cstheme="minorBidi"/>
          <w:sz w:val="22"/>
          <w:szCs w:val="22"/>
        </w:rPr>
        <w:t>psychological support for both staff and patients to help h</w:t>
      </w:r>
      <w:r w:rsidRPr="090C4359" w:rsidR="0076140A">
        <w:rPr>
          <w:rFonts w:asciiTheme="minorHAnsi" w:hAnsiTheme="minorHAnsi" w:cstheme="minorBidi"/>
          <w:sz w:val="22"/>
          <w:szCs w:val="22"/>
        </w:rPr>
        <w:t>andle distress</w:t>
      </w:r>
      <w:r w:rsidRPr="090C4359" w:rsidR="00E61653">
        <w:rPr>
          <w:rFonts w:asciiTheme="minorHAnsi" w:hAnsiTheme="minorHAnsi" w:cstheme="minorBidi"/>
          <w:sz w:val="22"/>
          <w:szCs w:val="22"/>
        </w:rPr>
        <w:t>.</w:t>
      </w:r>
      <w:r w:rsidRPr="090C4359" w:rsidR="00E61653">
        <w:rPr>
          <w:rStyle w:val="FootnoteReference"/>
          <w:rFonts w:asciiTheme="minorHAnsi" w:hAnsiTheme="minorHAnsi" w:cstheme="minorBidi"/>
          <w:sz w:val="22"/>
          <w:szCs w:val="22"/>
        </w:rPr>
        <w:footnoteReference w:id="271"/>
      </w:r>
      <w:r w:rsidRPr="090C4359" w:rsidR="00241321">
        <w:rPr>
          <w:rFonts w:asciiTheme="minorHAnsi" w:hAnsiTheme="minorHAnsi" w:cstheme="minorBidi"/>
          <w:sz w:val="22"/>
          <w:szCs w:val="22"/>
        </w:rPr>
        <w:t xml:space="preserve"> These are </w:t>
      </w:r>
      <w:r w:rsidRPr="090C4359" w:rsidR="00F56EEE">
        <w:rPr>
          <w:rFonts w:asciiTheme="minorHAnsi" w:hAnsiTheme="minorHAnsi" w:cstheme="minorBidi"/>
          <w:sz w:val="22"/>
          <w:szCs w:val="22"/>
        </w:rPr>
        <w:t xml:space="preserve">all concepts </w:t>
      </w:r>
      <w:r w:rsidRPr="090C4359" w:rsidR="00010DC6">
        <w:rPr>
          <w:rFonts w:asciiTheme="minorHAnsi" w:hAnsiTheme="minorHAnsi" w:cstheme="minorBidi"/>
          <w:sz w:val="22"/>
          <w:szCs w:val="22"/>
        </w:rPr>
        <w:t>that</w:t>
      </w:r>
      <w:r w:rsidRPr="090C4359" w:rsidR="00664BF1">
        <w:rPr>
          <w:rFonts w:asciiTheme="minorHAnsi" w:hAnsiTheme="minorHAnsi" w:cstheme="minorBidi"/>
          <w:sz w:val="22"/>
          <w:szCs w:val="22"/>
        </w:rPr>
        <w:t xml:space="preserve"> Birchley</w:t>
      </w:r>
      <w:r w:rsidRPr="090C4359" w:rsidR="00F56EEE">
        <w:rPr>
          <w:rFonts w:asciiTheme="minorHAnsi" w:hAnsiTheme="minorHAnsi" w:cstheme="minorBidi"/>
          <w:sz w:val="22"/>
          <w:szCs w:val="22"/>
        </w:rPr>
        <w:t xml:space="preserve"> et al note are not new</w:t>
      </w:r>
      <w:r w:rsidRPr="090C4359" w:rsidR="001B1EE4">
        <w:rPr>
          <w:rFonts w:asciiTheme="minorHAnsi" w:hAnsiTheme="minorHAnsi" w:cstheme="minorBidi"/>
          <w:sz w:val="22"/>
          <w:szCs w:val="22"/>
        </w:rPr>
        <w:t>,</w:t>
      </w:r>
      <w:r w:rsidRPr="090C4359" w:rsidR="00F56EEE">
        <w:rPr>
          <w:rFonts w:asciiTheme="minorHAnsi" w:hAnsiTheme="minorHAnsi" w:cstheme="minorBidi"/>
          <w:sz w:val="22"/>
          <w:szCs w:val="22"/>
        </w:rPr>
        <w:t xml:space="preserve"> but require</w:t>
      </w:r>
      <w:r w:rsidRPr="090C4359" w:rsidR="00664BF1">
        <w:rPr>
          <w:rFonts w:asciiTheme="minorHAnsi" w:hAnsiTheme="minorHAnsi" w:cstheme="minorBidi"/>
          <w:sz w:val="22"/>
          <w:szCs w:val="22"/>
        </w:rPr>
        <w:t xml:space="preserve"> </w:t>
      </w:r>
      <w:r w:rsidRPr="090C4359" w:rsidR="00D535FC">
        <w:rPr>
          <w:rFonts w:asciiTheme="minorHAnsi" w:hAnsiTheme="minorHAnsi" w:cstheme="minorBidi"/>
          <w:sz w:val="22"/>
          <w:szCs w:val="22"/>
        </w:rPr>
        <w:t>‘</w:t>
      </w:r>
      <w:r w:rsidRPr="090C4359" w:rsidR="005F3394">
        <w:rPr>
          <w:rFonts w:asciiTheme="minorHAnsi" w:hAnsiTheme="minorHAnsi" w:cstheme="minorBidi"/>
          <w:sz w:val="22"/>
          <w:szCs w:val="22"/>
        </w:rPr>
        <w:t xml:space="preserve">some </w:t>
      </w:r>
      <w:r w:rsidRPr="090C4359" w:rsidR="00D535FC">
        <w:rPr>
          <w:rFonts w:asciiTheme="minorHAnsi" w:hAnsiTheme="minorHAnsi" w:cstheme="minorBidi"/>
          <w:sz w:val="22"/>
          <w:szCs w:val="22"/>
        </w:rPr>
        <w:t>committed resource and intent</w:t>
      </w:r>
      <w:r w:rsidRPr="090C4359" w:rsidR="004A38ED">
        <w:rPr>
          <w:rFonts w:asciiTheme="minorHAnsi" w:hAnsiTheme="minorHAnsi" w:cstheme="minorBidi"/>
          <w:sz w:val="22"/>
          <w:szCs w:val="22"/>
        </w:rPr>
        <w:t>’ to succeed.</w:t>
      </w:r>
      <w:r w:rsidRPr="090C4359" w:rsidR="00BA4636">
        <w:rPr>
          <w:rStyle w:val="FootnoteReference"/>
          <w:rFonts w:asciiTheme="minorHAnsi" w:hAnsiTheme="minorHAnsi" w:cstheme="minorBidi"/>
          <w:sz w:val="22"/>
          <w:szCs w:val="22"/>
        </w:rPr>
        <w:footnoteReference w:id="272"/>
      </w:r>
      <w:r w:rsidRPr="090C4359" w:rsidR="005E1F6C">
        <w:rPr>
          <w:rFonts w:asciiTheme="minorHAnsi" w:hAnsiTheme="minorHAnsi" w:cstheme="minorBidi"/>
          <w:sz w:val="22"/>
          <w:szCs w:val="22"/>
        </w:rPr>
        <w:t xml:space="preserve"> </w:t>
      </w:r>
    </w:p>
    <w:p w:rsidRPr="00763E94" w:rsidR="002E41AC" w:rsidP="002E41AC" w:rsidRDefault="002E41AC" w14:paraId="64228A6A" w14:textId="77777777">
      <w:pPr>
        <w:pStyle w:val="Normal0"/>
        <w:ind w:left="720"/>
        <w:rPr>
          <w:rFonts w:asciiTheme="minorHAnsi" w:hAnsiTheme="minorHAnsi" w:cstheme="minorHAnsi"/>
          <w:sz w:val="22"/>
          <w:szCs w:val="22"/>
        </w:rPr>
      </w:pPr>
    </w:p>
    <w:p w:rsidRPr="00763E94" w:rsidR="00BF0E0F" w:rsidP="00985338" w:rsidRDefault="00DD1557" w14:paraId="028C00A6" w14:textId="33DFBF14">
      <w:pPr>
        <w:pStyle w:val="Normal0"/>
        <w:numPr>
          <w:ilvl w:val="0"/>
          <w:numId w:val="2"/>
        </w:numPr>
        <w:jc w:val="both"/>
        <w:rPr>
          <w:rFonts w:asciiTheme="minorHAnsi" w:hAnsiTheme="minorHAnsi" w:cstheme="minorHAnsi"/>
          <w:sz w:val="22"/>
          <w:szCs w:val="22"/>
        </w:rPr>
      </w:pPr>
      <w:r w:rsidRPr="090C4359">
        <w:rPr>
          <w:rFonts w:asciiTheme="minorHAnsi" w:hAnsiTheme="minorHAnsi" w:cstheme="minorBidi"/>
          <w:sz w:val="22"/>
          <w:szCs w:val="22"/>
        </w:rPr>
        <w:t>One such model</w:t>
      </w:r>
      <w:r w:rsidRPr="090C4359" w:rsidR="00E63E1A">
        <w:rPr>
          <w:rFonts w:asciiTheme="minorHAnsi" w:hAnsiTheme="minorHAnsi" w:cstheme="minorBidi"/>
          <w:sz w:val="22"/>
          <w:szCs w:val="22"/>
        </w:rPr>
        <w:t xml:space="preserve"> </w:t>
      </w:r>
      <w:r w:rsidRPr="090C4359" w:rsidR="00302E3C">
        <w:rPr>
          <w:rFonts w:asciiTheme="minorHAnsi" w:hAnsiTheme="minorHAnsi" w:cstheme="minorBidi"/>
          <w:sz w:val="22"/>
          <w:szCs w:val="22"/>
        </w:rPr>
        <w:t xml:space="preserve">forms part of </w:t>
      </w:r>
      <w:r w:rsidRPr="090C4359" w:rsidR="00173A5A">
        <w:rPr>
          <w:rFonts w:asciiTheme="minorHAnsi" w:hAnsiTheme="minorHAnsi" w:cstheme="minorBidi"/>
          <w:sz w:val="22"/>
          <w:szCs w:val="22"/>
        </w:rPr>
        <w:t>the Evelina Resolution Project,</w:t>
      </w:r>
      <w:r w:rsidRPr="090C4359" w:rsidR="00CC63B7">
        <w:rPr>
          <w:rFonts w:asciiTheme="minorHAnsi" w:hAnsiTheme="minorHAnsi" w:cstheme="minorBidi"/>
          <w:sz w:val="22"/>
          <w:szCs w:val="22"/>
        </w:rPr>
        <w:t xml:space="preserve"> first launched in 2013 and later adopted</w:t>
      </w:r>
      <w:r w:rsidRPr="090C4359" w:rsidR="00E24DEA">
        <w:rPr>
          <w:rFonts w:asciiTheme="minorHAnsi" w:hAnsiTheme="minorHAnsi" w:cstheme="minorBidi"/>
          <w:sz w:val="22"/>
          <w:szCs w:val="22"/>
        </w:rPr>
        <w:t xml:space="preserve"> by the Medical Mediation Foundation</w:t>
      </w:r>
      <w:r w:rsidRPr="090C4359" w:rsidR="00BD1273">
        <w:rPr>
          <w:rFonts w:asciiTheme="minorHAnsi" w:hAnsiTheme="minorHAnsi" w:cstheme="minorBidi"/>
          <w:sz w:val="22"/>
          <w:szCs w:val="22"/>
        </w:rPr>
        <w:t xml:space="preserve">. </w:t>
      </w:r>
      <w:r w:rsidRPr="090C4359" w:rsidR="003E258C">
        <w:rPr>
          <w:rFonts w:asciiTheme="minorHAnsi" w:hAnsiTheme="minorHAnsi" w:cstheme="minorBidi"/>
          <w:sz w:val="22"/>
          <w:szCs w:val="22"/>
        </w:rPr>
        <w:t>Its conflict management</w:t>
      </w:r>
      <w:r w:rsidRPr="090C4359" w:rsidR="004A0C13">
        <w:rPr>
          <w:rFonts w:asciiTheme="minorHAnsi" w:hAnsiTheme="minorHAnsi" w:cstheme="minorBidi"/>
          <w:sz w:val="22"/>
          <w:szCs w:val="22"/>
        </w:rPr>
        <w:t xml:space="preserve"> </w:t>
      </w:r>
      <w:r w:rsidRPr="090C4359" w:rsidR="00BD1273">
        <w:rPr>
          <w:rFonts w:asciiTheme="minorHAnsi" w:hAnsiTheme="minorHAnsi" w:cstheme="minorBidi"/>
          <w:sz w:val="22"/>
          <w:szCs w:val="22"/>
        </w:rPr>
        <w:t>framework provides</w:t>
      </w:r>
      <w:r w:rsidRPr="090C4359" w:rsidR="00D807DD">
        <w:rPr>
          <w:rFonts w:asciiTheme="minorHAnsi" w:hAnsiTheme="minorHAnsi" w:cstheme="minorBidi"/>
          <w:sz w:val="22"/>
          <w:szCs w:val="22"/>
        </w:rPr>
        <w:t xml:space="preserve"> training and tools to utilise</w:t>
      </w:r>
      <w:r w:rsidRPr="090C4359" w:rsidR="002E41AC">
        <w:rPr>
          <w:rFonts w:asciiTheme="minorHAnsi" w:hAnsiTheme="minorHAnsi" w:cstheme="minorBidi"/>
          <w:sz w:val="22"/>
          <w:szCs w:val="22"/>
        </w:rPr>
        <w:t xml:space="preserve"> a</w:t>
      </w:r>
      <w:r w:rsidRPr="090C4359" w:rsidR="00D807DD">
        <w:rPr>
          <w:rFonts w:asciiTheme="minorHAnsi" w:hAnsiTheme="minorHAnsi" w:cstheme="minorBidi"/>
          <w:sz w:val="22"/>
          <w:szCs w:val="22"/>
        </w:rPr>
        <w:t xml:space="preserve"> </w:t>
      </w:r>
      <w:r w:rsidRPr="090C4359" w:rsidR="00FE7ED9">
        <w:rPr>
          <w:rFonts w:asciiTheme="minorHAnsi" w:hAnsiTheme="minorHAnsi" w:cstheme="minorBidi"/>
          <w:sz w:val="22"/>
          <w:szCs w:val="22"/>
        </w:rPr>
        <w:t>two-stage</w:t>
      </w:r>
      <w:r w:rsidRPr="090C4359" w:rsidR="00BD1273">
        <w:rPr>
          <w:rFonts w:asciiTheme="minorHAnsi" w:hAnsiTheme="minorHAnsi" w:cstheme="minorBidi"/>
          <w:sz w:val="22"/>
          <w:szCs w:val="22"/>
        </w:rPr>
        <w:t xml:space="preserve"> </w:t>
      </w:r>
      <w:r w:rsidRPr="090C4359" w:rsidR="00AC75EA">
        <w:rPr>
          <w:rFonts w:asciiTheme="minorHAnsi" w:hAnsiTheme="minorHAnsi" w:cstheme="minorBidi"/>
          <w:sz w:val="22"/>
          <w:szCs w:val="22"/>
        </w:rPr>
        <w:t>‘</w:t>
      </w:r>
      <w:r w:rsidRPr="090C4359" w:rsidR="00444723">
        <w:rPr>
          <w:rFonts w:asciiTheme="minorHAnsi" w:hAnsiTheme="minorHAnsi" w:cstheme="minorBidi"/>
          <w:sz w:val="22"/>
          <w:szCs w:val="22"/>
          <w:shd w:val="clear" w:color="auto" w:fill="FFFFFF"/>
        </w:rPr>
        <w:t>structured approach to talking with families about disagreements, documenting discussions and escalating concerns</w:t>
      </w:r>
      <w:r w:rsidRPr="090C4359" w:rsidR="00AC75EA">
        <w:rPr>
          <w:rFonts w:asciiTheme="minorHAnsi" w:hAnsiTheme="minorHAnsi" w:cstheme="minorBidi"/>
          <w:sz w:val="22"/>
          <w:szCs w:val="22"/>
          <w:shd w:val="clear" w:color="auto" w:fill="FFFFFF"/>
        </w:rPr>
        <w:t>’</w:t>
      </w:r>
      <w:r w:rsidRPr="090C4359" w:rsidR="00FE7ED9">
        <w:rPr>
          <w:rFonts w:asciiTheme="minorHAnsi" w:hAnsiTheme="minorHAnsi" w:cstheme="minorBidi"/>
          <w:sz w:val="22"/>
          <w:szCs w:val="22"/>
          <w:shd w:val="clear" w:color="auto" w:fill="FFFFFF"/>
        </w:rPr>
        <w:t>.</w:t>
      </w:r>
      <w:r w:rsidRPr="090C4359" w:rsidR="004A0C13">
        <w:rPr>
          <w:rFonts w:asciiTheme="minorHAnsi" w:hAnsiTheme="minorHAnsi" w:cstheme="minorBidi"/>
          <w:sz w:val="22"/>
          <w:szCs w:val="22"/>
          <w:shd w:val="clear" w:color="auto" w:fill="FFFFFF"/>
        </w:rPr>
        <w:t xml:space="preserve"> </w:t>
      </w:r>
      <w:r w:rsidRPr="090C4359" w:rsidR="00D40F7E">
        <w:rPr>
          <w:rStyle w:val="FootnoteReference"/>
          <w:rFonts w:asciiTheme="minorHAnsi" w:hAnsiTheme="minorHAnsi" w:cstheme="minorBidi"/>
          <w:sz w:val="22"/>
          <w:szCs w:val="22"/>
          <w:shd w:val="clear" w:color="auto" w:fill="FFFFFF"/>
        </w:rPr>
        <w:footnoteReference w:id="273"/>
      </w:r>
      <w:r w:rsidRPr="090C4359" w:rsidR="00D40F7E">
        <w:rPr>
          <w:rFonts w:asciiTheme="minorHAnsi" w:hAnsiTheme="minorHAnsi" w:cstheme="minorBidi"/>
          <w:sz w:val="22"/>
          <w:szCs w:val="22"/>
          <w:shd w:val="clear" w:color="auto" w:fill="FFFFFF"/>
        </w:rPr>
        <w:t xml:space="preserve">  </w:t>
      </w:r>
      <w:r w:rsidRPr="090C4359" w:rsidR="007572B2">
        <w:rPr>
          <w:rFonts w:asciiTheme="minorHAnsi" w:hAnsiTheme="minorHAnsi" w:cstheme="minorBidi"/>
          <w:sz w:val="22"/>
          <w:szCs w:val="22"/>
          <w:shd w:val="clear" w:color="auto" w:fill="FFFFFF"/>
        </w:rPr>
        <w:t xml:space="preserve">The </w:t>
      </w:r>
      <w:r w:rsidRPr="090C4359" w:rsidR="00B67290">
        <w:rPr>
          <w:rFonts w:asciiTheme="minorHAnsi" w:hAnsiTheme="minorHAnsi" w:cstheme="minorBidi"/>
          <w:sz w:val="22"/>
          <w:szCs w:val="22"/>
          <w:shd w:val="clear" w:color="auto" w:fill="FFFFFF"/>
        </w:rPr>
        <w:t>first</w:t>
      </w:r>
      <w:r w:rsidRPr="090C4359" w:rsidR="00414515">
        <w:rPr>
          <w:rFonts w:asciiTheme="minorHAnsi" w:hAnsiTheme="minorHAnsi" w:cstheme="minorBidi"/>
          <w:sz w:val="22"/>
          <w:szCs w:val="22"/>
          <w:shd w:val="clear" w:color="auto" w:fill="FFFFFF"/>
        </w:rPr>
        <w:t xml:space="preserve"> </w:t>
      </w:r>
      <w:r w:rsidRPr="090C4359" w:rsidR="002E41AC">
        <w:rPr>
          <w:rFonts w:asciiTheme="minorHAnsi" w:hAnsiTheme="minorHAnsi" w:cstheme="minorBidi"/>
          <w:sz w:val="22"/>
          <w:szCs w:val="22"/>
          <w:shd w:val="clear" w:color="auto" w:fill="FFFFFF"/>
        </w:rPr>
        <w:t xml:space="preserve">stage </w:t>
      </w:r>
      <w:r w:rsidRPr="090C4359" w:rsidR="00414515">
        <w:rPr>
          <w:rFonts w:asciiTheme="minorHAnsi" w:hAnsiTheme="minorHAnsi" w:cstheme="minorBidi"/>
          <w:sz w:val="22"/>
          <w:szCs w:val="22"/>
          <w:shd w:val="clear" w:color="auto" w:fill="FFFFFF"/>
        </w:rPr>
        <w:t xml:space="preserve">focuses on </w:t>
      </w:r>
      <w:r w:rsidRPr="090C4359" w:rsidR="004A4FB2">
        <w:rPr>
          <w:rFonts w:asciiTheme="minorHAnsi" w:hAnsiTheme="minorHAnsi" w:cstheme="minorBidi"/>
          <w:sz w:val="22"/>
          <w:szCs w:val="22"/>
          <w:shd w:val="clear" w:color="auto" w:fill="FFFFFF"/>
        </w:rPr>
        <w:t>prompts to awareness and avoidance of conflict triggers which are used in daily huddles</w:t>
      </w:r>
      <w:r w:rsidRPr="090C4359" w:rsidR="00665463">
        <w:rPr>
          <w:rFonts w:asciiTheme="minorHAnsi" w:hAnsiTheme="minorHAnsi" w:cstheme="minorBidi"/>
          <w:sz w:val="22"/>
          <w:szCs w:val="22"/>
          <w:shd w:val="clear" w:color="auto" w:fill="FFFFFF"/>
        </w:rPr>
        <w:t>/</w:t>
      </w:r>
      <w:r w:rsidRPr="090C4359" w:rsidR="004A4FB2">
        <w:rPr>
          <w:rFonts w:asciiTheme="minorHAnsi" w:hAnsiTheme="minorHAnsi" w:cstheme="minorBidi"/>
          <w:sz w:val="22"/>
          <w:szCs w:val="22"/>
          <w:shd w:val="clear" w:color="auto" w:fill="FFFFFF"/>
        </w:rPr>
        <w:t xml:space="preserve"> handovers</w:t>
      </w:r>
      <w:r w:rsidRPr="090C4359" w:rsidR="005D6270">
        <w:rPr>
          <w:rFonts w:asciiTheme="minorHAnsi" w:hAnsiTheme="minorHAnsi" w:cstheme="minorBidi"/>
          <w:sz w:val="22"/>
          <w:szCs w:val="22"/>
          <w:shd w:val="clear" w:color="auto" w:fill="FFFFFF"/>
        </w:rPr>
        <w:t xml:space="preserve"> and urges </w:t>
      </w:r>
      <w:r w:rsidRPr="090C4359" w:rsidR="007245A1">
        <w:rPr>
          <w:rFonts w:asciiTheme="minorHAnsi" w:hAnsiTheme="minorHAnsi" w:cstheme="minorBidi"/>
          <w:sz w:val="22"/>
          <w:szCs w:val="22"/>
          <w:shd w:val="clear" w:color="auto" w:fill="FFFFFF"/>
        </w:rPr>
        <w:t>timely engagement with the family to explore their concerns. Stage 2</w:t>
      </w:r>
      <w:r w:rsidRPr="090C4359" w:rsidR="00B67290">
        <w:rPr>
          <w:rFonts w:asciiTheme="minorHAnsi" w:hAnsiTheme="minorHAnsi" w:cstheme="minorBidi"/>
          <w:sz w:val="22"/>
          <w:szCs w:val="22"/>
          <w:shd w:val="clear" w:color="auto" w:fill="FFFFFF"/>
        </w:rPr>
        <w:t xml:space="preserve"> </w:t>
      </w:r>
      <w:r w:rsidRPr="090C4359" w:rsidR="00780036">
        <w:rPr>
          <w:rFonts w:asciiTheme="minorHAnsi" w:hAnsiTheme="minorHAnsi" w:cstheme="minorBidi"/>
          <w:sz w:val="22"/>
          <w:szCs w:val="22"/>
        </w:rPr>
        <w:t xml:space="preserve">has a four-step process to be used </w:t>
      </w:r>
      <w:r w:rsidRPr="090C4359" w:rsidR="003A5770">
        <w:rPr>
          <w:rFonts w:asciiTheme="minorHAnsi" w:hAnsiTheme="minorHAnsi" w:cstheme="minorBidi"/>
          <w:sz w:val="22"/>
          <w:szCs w:val="22"/>
        </w:rPr>
        <w:t>in the event of escalation and communication breakdown, where</w:t>
      </w:r>
      <w:r w:rsidRPr="090C4359" w:rsidR="00780036">
        <w:rPr>
          <w:rFonts w:asciiTheme="minorHAnsi" w:hAnsiTheme="minorHAnsi" w:cstheme="minorBidi"/>
          <w:sz w:val="22"/>
          <w:szCs w:val="22"/>
        </w:rPr>
        <w:t xml:space="preserve"> </w:t>
      </w:r>
      <w:r w:rsidRPr="090C4359" w:rsidR="00715112">
        <w:rPr>
          <w:rFonts w:asciiTheme="minorHAnsi" w:hAnsiTheme="minorHAnsi" w:cstheme="minorBidi"/>
          <w:sz w:val="22"/>
          <w:szCs w:val="22"/>
        </w:rPr>
        <w:t>‘</w:t>
      </w:r>
      <w:r w:rsidRPr="090C4359" w:rsidR="00780036">
        <w:rPr>
          <w:rFonts w:asciiTheme="minorHAnsi" w:hAnsiTheme="minorHAnsi" w:cstheme="minorBidi"/>
          <w:sz w:val="22"/>
          <w:szCs w:val="22"/>
        </w:rPr>
        <w:t>conflict is recognised as serious, so senior hospital managers are informed of the case, and if necessary so too are child protection teams, legal services and hospital security</w:t>
      </w:r>
      <w:r w:rsidRPr="090C4359" w:rsidR="00715112">
        <w:rPr>
          <w:rFonts w:asciiTheme="minorHAnsi" w:hAnsiTheme="minorHAnsi" w:cstheme="minorBidi"/>
          <w:sz w:val="22"/>
          <w:szCs w:val="22"/>
        </w:rPr>
        <w:t>.’</w:t>
      </w:r>
      <w:r w:rsidRPr="090C4359" w:rsidR="00715112">
        <w:rPr>
          <w:rStyle w:val="FootnoteReference"/>
          <w:rFonts w:asciiTheme="minorHAnsi" w:hAnsiTheme="minorHAnsi" w:cstheme="minorBidi"/>
          <w:sz w:val="22"/>
          <w:szCs w:val="22"/>
        </w:rPr>
        <w:footnoteReference w:id="274"/>
      </w:r>
      <w:r w:rsidRPr="090C4359" w:rsidR="00EF6924">
        <w:rPr>
          <w:rFonts w:asciiTheme="minorHAnsi" w:hAnsiTheme="minorHAnsi" w:cstheme="minorBidi"/>
          <w:sz w:val="22"/>
          <w:szCs w:val="22"/>
        </w:rPr>
        <w:t xml:space="preserve"> </w:t>
      </w:r>
      <w:r w:rsidRPr="090C4359" w:rsidR="002337AE">
        <w:rPr>
          <w:rFonts w:asciiTheme="minorHAnsi" w:hAnsiTheme="minorHAnsi" w:cstheme="minorBidi"/>
          <w:sz w:val="22"/>
          <w:szCs w:val="22"/>
          <w:shd w:val="clear" w:color="auto" w:fill="FFFFFF"/>
        </w:rPr>
        <w:t xml:space="preserve">Forbat and Barclay </w:t>
      </w:r>
      <w:r w:rsidRPr="090C4359" w:rsidR="00EF6924">
        <w:rPr>
          <w:rFonts w:asciiTheme="minorHAnsi" w:hAnsiTheme="minorHAnsi" w:cstheme="minorBidi"/>
          <w:sz w:val="22"/>
          <w:szCs w:val="22"/>
          <w:shd w:val="clear" w:color="auto" w:fill="FFFFFF"/>
        </w:rPr>
        <w:t>have reported that early trials of the framework</w:t>
      </w:r>
      <w:r w:rsidRPr="090C4359" w:rsidR="004916FE">
        <w:rPr>
          <w:rFonts w:asciiTheme="minorHAnsi" w:hAnsiTheme="minorHAnsi" w:cstheme="minorBidi"/>
          <w:sz w:val="22"/>
          <w:szCs w:val="22"/>
          <w:shd w:val="clear" w:color="auto" w:fill="FFFFFF"/>
        </w:rPr>
        <w:t xml:space="preserve"> </w:t>
      </w:r>
      <w:r w:rsidRPr="090C4359" w:rsidR="00F16807">
        <w:rPr>
          <w:rFonts w:asciiTheme="minorHAnsi" w:hAnsiTheme="minorHAnsi" w:cstheme="minorBidi"/>
          <w:sz w:val="22"/>
          <w:szCs w:val="22"/>
          <w:shd w:val="clear" w:color="auto" w:fill="FFFFFF"/>
        </w:rPr>
        <w:t xml:space="preserve">in a </w:t>
      </w:r>
      <w:r w:rsidRPr="090C4359" w:rsidR="009808D6">
        <w:rPr>
          <w:rFonts w:asciiTheme="minorHAnsi" w:hAnsiTheme="minorHAnsi" w:cstheme="minorBidi"/>
          <w:sz w:val="22"/>
          <w:szCs w:val="22"/>
          <w:shd w:val="clear" w:color="auto" w:fill="FFFFFF"/>
        </w:rPr>
        <w:t>p</w:t>
      </w:r>
      <w:r w:rsidRPr="090C4359" w:rsidR="00F16807">
        <w:rPr>
          <w:rFonts w:asciiTheme="minorHAnsi" w:hAnsiTheme="minorHAnsi" w:cstheme="minorBidi"/>
          <w:sz w:val="22"/>
          <w:szCs w:val="22"/>
          <w:shd w:val="clear" w:color="auto" w:fill="FFFFFF"/>
        </w:rPr>
        <w:t xml:space="preserve">aediatric </w:t>
      </w:r>
      <w:r w:rsidRPr="090C4359" w:rsidR="002B47A8">
        <w:rPr>
          <w:rFonts w:asciiTheme="minorHAnsi" w:hAnsiTheme="minorHAnsi" w:cstheme="minorBidi"/>
          <w:sz w:val="22"/>
          <w:szCs w:val="22"/>
          <w:shd w:val="clear" w:color="auto" w:fill="FFFFFF"/>
        </w:rPr>
        <w:t xml:space="preserve">oncology ward </w:t>
      </w:r>
      <w:r w:rsidRPr="090C4359" w:rsidR="00F16807">
        <w:rPr>
          <w:rFonts w:asciiTheme="minorHAnsi" w:hAnsiTheme="minorHAnsi" w:cstheme="minorBidi"/>
          <w:sz w:val="22"/>
          <w:szCs w:val="22"/>
          <w:shd w:val="clear" w:color="auto" w:fill="FFFFFF"/>
        </w:rPr>
        <w:t>in</w:t>
      </w:r>
      <w:r w:rsidRPr="090C4359" w:rsidR="009C21A5">
        <w:rPr>
          <w:rFonts w:asciiTheme="minorHAnsi" w:hAnsiTheme="minorHAnsi" w:cstheme="minorBidi"/>
          <w:sz w:val="22"/>
          <w:szCs w:val="22"/>
          <w:shd w:val="clear" w:color="auto" w:fill="FFFFFF"/>
        </w:rPr>
        <w:t xml:space="preserve"> an</w:t>
      </w:r>
      <w:r w:rsidRPr="090C4359" w:rsidR="00F16807">
        <w:rPr>
          <w:rFonts w:asciiTheme="minorHAnsi" w:hAnsiTheme="minorHAnsi" w:cstheme="minorBidi"/>
          <w:sz w:val="22"/>
          <w:szCs w:val="22"/>
          <w:shd w:val="clear" w:color="auto" w:fill="FFFFFF"/>
        </w:rPr>
        <w:t xml:space="preserve"> Australia</w:t>
      </w:r>
      <w:r w:rsidRPr="090C4359" w:rsidR="009C21A5">
        <w:rPr>
          <w:rFonts w:asciiTheme="minorHAnsi" w:hAnsiTheme="minorHAnsi" w:cstheme="minorBidi"/>
          <w:sz w:val="22"/>
          <w:szCs w:val="22"/>
          <w:shd w:val="clear" w:color="auto" w:fill="FFFFFF"/>
        </w:rPr>
        <w:t>n hospital</w:t>
      </w:r>
      <w:r w:rsidRPr="090C4359" w:rsidR="00B33143">
        <w:rPr>
          <w:rFonts w:asciiTheme="minorHAnsi" w:hAnsiTheme="minorHAnsi" w:cstheme="minorBidi"/>
          <w:sz w:val="22"/>
          <w:szCs w:val="22"/>
          <w:shd w:val="clear" w:color="auto" w:fill="FFFFFF"/>
        </w:rPr>
        <w:t xml:space="preserve">, showed </w:t>
      </w:r>
      <w:r w:rsidRPr="090C4359" w:rsidR="000A73F1">
        <w:rPr>
          <w:rFonts w:asciiTheme="minorHAnsi" w:hAnsiTheme="minorHAnsi" w:cstheme="minorBidi"/>
          <w:sz w:val="22"/>
          <w:szCs w:val="22"/>
          <w:shd w:val="clear" w:color="auto" w:fill="FFFFFF"/>
        </w:rPr>
        <w:t>a 64</w:t>
      </w:r>
      <w:r w:rsidRPr="090C4359" w:rsidR="00771DB2">
        <w:rPr>
          <w:rFonts w:asciiTheme="minorHAnsi" w:hAnsiTheme="minorHAnsi" w:cstheme="minorBidi"/>
          <w:sz w:val="22"/>
          <w:szCs w:val="22"/>
          <w:shd w:val="clear" w:color="auto" w:fill="FFFFFF"/>
        </w:rPr>
        <w:t>% decrease in conflict incidents</w:t>
      </w:r>
      <w:r w:rsidRPr="090C4359" w:rsidR="008A3523">
        <w:rPr>
          <w:rFonts w:asciiTheme="minorHAnsi" w:hAnsiTheme="minorHAnsi" w:cstheme="minorBidi"/>
          <w:sz w:val="22"/>
          <w:szCs w:val="22"/>
          <w:shd w:val="clear" w:color="auto" w:fill="FFFFFF"/>
        </w:rPr>
        <w:t xml:space="preserve"> between the baseline and follow</w:t>
      </w:r>
      <w:r w:rsidRPr="090C4359" w:rsidR="005B75F3">
        <w:rPr>
          <w:rFonts w:asciiTheme="minorHAnsi" w:hAnsiTheme="minorHAnsi" w:cstheme="minorBidi"/>
          <w:sz w:val="22"/>
          <w:szCs w:val="22"/>
          <w:shd w:val="clear" w:color="auto" w:fill="FFFFFF"/>
        </w:rPr>
        <w:t>-</w:t>
      </w:r>
      <w:r w:rsidRPr="090C4359" w:rsidR="008A3523">
        <w:rPr>
          <w:rFonts w:asciiTheme="minorHAnsi" w:hAnsiTheme="minorHAnsi" w:cstheme="minorBidi"/>
          <w:sz w:val="22"/>
          <w:szCs w:val="22"/>
          <w:shd w:val="clear" w:color="auto" w:fill="FFFFFF"/>
        </w:rPr>
        <w:t xml:space="preserve">up </w:t>
      </w:r>
      <w:r w:rsidRPr="090C4359" w:rsidR="00C52537">
        <w:rPr>
          <w:rFonts w:asciiTheme="minorHAnsi" w:hAnsiTheme="minorHAnsi" w:cstheme="minorBidi"/>
          <w:sz w:val="22"/>
          <w:szCs w:val="22"/>
          <w:shd w:val="clear" w:color="auto" w:fill="FFFFFF"/>
        </w:rPr>
        <w:t>6</w:t>
      </w:r>
      <w:r w:rsidRPr="090C4359" w:rsidR="00E77C8C">
        <w:rPr>
          <w:rFonts w:asciiTheme="minorHAnsi" w:hAnsiTheme="minorHAnsi" w:cstheme="minorBidi"/>
          <w:sz w:val="22"/>
          <w:szCs w:val="22"/>
          <w:shd w:val="clear" w:color="auto" w:fill="FFFFFF"/>
        </w:rPr>
        <w:t xml:space="preserve"> months later, along with increased staff confidence</w:t>
      </w:r>
      <w:r w:rsidRPr="090C4359" w:rsidR="007C4CEF">
        <w:rPr>
          <w:rFonts w:asciiTheme="minorHAnsi" w:hAnsiTheme="minorHAnsi" w:cstheme="minorBidi"/>
          <w:sz w:val="22"/>
          <w:szCs w:val="22"/>
          <w:shd w:val="clear" w:color="auto" w:fill="FFFFFF"/>
        </w:rPr>
        <w:t xml:space="preserve"> in discussing and positively managing </w:t>
      </w:r>
      <w:r w:rsidRPr="090C4359" w:rsidR="00332836">
        <w:rPr>
          <w:rFonts w:asciiTheme="minorHAnsi" w:hAnsiTheme="minorHAnsi" w:cstheme="minorBidi"/>
          <w:sz w:val="22"/>
          <w:szCs w:val="22"/>
          <w:shd w:val="clear" w:color="auto" w:fill="FFFFFF"/>
        </w:rPr>
        <w:t>difficult situation</w:t>
      </w:r>
      <w:r w:rsidRPr="090C4359" w:rsidR="001844A1">
        <w:rPr>
          <w:rFonts w:asciiTheme="minorHAnsi" w:hAnsiTheme="minorHAnsi" w:cstheme="minorBidi"/>
          <w:sz w:val="22"/>
          <w:szCs w:val="22"/>
          <w:shd w:val="clear" w:color="auto" w:fill="FFFFFF"/>
        </w:rPr>
        <w:t>,</w:t>
      </w:r>
      <w:r w:rsidRPr="090C4359" w:rsidR="00252E02">
        <w:rPr>
          <w:rFonts w:asciiTheme="minorHAnsi" w:hAnsiTheme="minorHAnsi" w:cstheme="minorBidi"/>
          <w:sz w:val="22"/>
          <w:szCs w:val="22"/>
          <w:shd w:val="clear" w:color="auto" w:fill="FFFFFF"/>
        </w:rPr>
        <w:t xml:space="preserve"> and a resultant </w:t>
      </w:r>
      <w:r w:rsidRPr="090C4359" w:rsidR="001844A1">
        <w:rPr>
          <w:rFonts w:asciiTheme="minorHAnsi" w:hAnsiTheme="minorHAnsi" w:cstheme="minorBidi"/>
          <w:sz w:val="22"/>
          <w:szCs w:val="22"/>
          <w:shd w:val="clear" w:color="auto" w:fill="FFFFFF"/>
        </w:rPr>
        <w:t>statistically significant decrease in staff burnout.</w:t>
      </w:r>
      <w:r w:rsidRPr="090C4359" w:rsidR="001844A1">
        <w:rPr>
          <w:rStyle w:val="FootnoteReference"/>
          <w:rFonts w:asciiTheme="minorHAnsi" w:hAnsiTheme="minorHAnsi" w:cstheme="minorBidi"/>
          <w:sz w:val="22"/>
          <w:szCs w:val="22"/>
          <w:shd w:val="clear" w:color="auto" w:fill="FFFFFF"/>
        </w:rPr>
        <w:footnoteReference w:id="275"/>
      </w:r>
      <w:r w:rsidRPr="090C4359" w:rsidR="00F16807">
        <w:rPr>
          <w:rFonts w:asciiTheme="minorHAnsi" w:hAnsiTheme="minorHAnsi" w:cstheme="minorBidi"/>
          <w:sz w:val="22"/>
          <w:szCs w:val="22"/>
          <w:shd w:val="clear" w:color="auto" w:fill="FFFFFF"/>
        </w:rPr>
        <w:t xml:space="preserve"> </w:t>
      </w:r>
      <w:r w:rsidRPr="090C4359" w:rsidR="00EF6924">
        <w:rPr>
          <w:rFonts w:asciiTheme="minorHAnsi" w:hAnsiTheme="minorHAnsi" w:cstheme="minorBidi"/>
          <w:sz w:val="22"/>
          <w:szCs w:val="22"/>
          <w:shd w:val="clear" w:color="auto" w:fill="FFFFFF"/>
        </w:rPr>
        <w:t xml:space="preserve"> </w:t>
      </w:r>
      <w:r w:rsidRPr="090C4359" w:rsidR="00A079F7">
        <w:rPr>
          <w:rFonts w:asciiTheme="minorHAnsi" w:hAnsiTheme="minorHAnsi" w:cstheme="minorBidi"/>
          <w:sz w:val="22"/>
          <w:szCs w:val="22"/>
          <w:shd w:val="clear" w:color="auto" w:fill="FFFFFF"/>
        </w:rPr>
        <w:t xml:space="preserve">The authors </w:t>
      </w:r>
      <w:r w:rsidRPr="090C4359" w:rsidR="00BF0E0F">
        <w:rPr>
          <w:rFonts w:asciiTheme="minorHAnsi" w:hAnsiTheme="minorHAnsi" w:cstheme="minorBidi"/>
          <w:sz w:val="22"/>
          <w:szCs w:val="22"/>
          <w:shd w:val="clear" w:color="auto" w:fill="FFFFFF"/>
        </w:rPr>
        <w:t>note however that ‘</w:t>
      </w:r>
      <w:r w:rsidRPr="090C4359" w:rsidR="00BF0E0F">
        <w:rPr>
          <w:rFonts w:asciiTheme="minorHAnsi" w:hAnsiTheme="minorHAnsi" w:cstheme="minorBidi"/>
          <w:sz w:val="22"/>
          <w:szCs w:val="22"/>
        </w:rPr>
        <w:t>[f]or continued use of the framework, senior leadership is required at the ward and hospital levels, including buy-in from medical colleagues.’</w:t>
      </w:r>
      <w:r w:rsidRPr="090C4359" w:rsidR="00BF0E0F">
        <w:rPr>
          <w:rStyle w:val="FootnoteReference"/>
          <w:rFonts w:asciiTheme="minorHAnsi" w:hAnsiTheme="minorHAnsi" w:cstheme="minorBidi"/>
          <w:sz w:val="22"/>
          <w:szCs w:val="22"/>
        </w:rPr>
        <w:footnoteReference w:id="276"/>
      </w:r>
    </w:p>
    <w:p w:rsidRPr="00763E94" w:rsidR="00FB78ED" w:rsidP="002E41AC" w:rsidRDefault="00FB78ED" w14:paraId="37619C45" w14:textId="77777777">
      <w:pPr>
        <w:pStyle w:val="Normal0"/>
        <w:rPr>
          <w:rFonts w:ascii="Segoe UI" w:hAnsi="Segoe UI" w:cs="Segoe UI"/>
          <w:sz w:val="22"/>
          <w:szCs w:val="22"/>
        </w:rPr>
      </w:pPr>
    </w:p>
    <w:p w:rsidRPr="00763E94" w:rsidR="00F512FA" w:rsidP="00985338" w:rsidRDefault="00B1453A" w14:paraId="6EBCB813" w14:textId="37A5FFC8">
      <w:pPr>
        <w:pStyle w:val="Normal0"/>
        <w:numPr>
          <w:ilvl w:val="0"/>
          <w:numId w:val="2"/>
        </w:numPr>
        <w:jc w:val="both"/>
        <w:rPr>
          <w:rFonts w:ascii="Segoe UI" w:hAnsi="Segoe UI" w:cs="Segoe UI"/>
          <w:sz w:val="20"/>
          <w:szCs w:val="20"/>
        </w:rPr>
      </w:pPr>
      <w:r w:rsidRPr="090C4359">
        <w:rPr>
          <w:rFonts w:asciiTheme="minorHAnsi" w:hAnsiTheme="minorHAnsi" w:cstheme="minorBidi"/>
          <w:sz w:val="22"/>
          <w:szCs w:val="22"/>
        </w:rPr>
        <w:t>In the context of</w:t>
      </w:r>
      <w:r w:rsidRPr="090C4359" w:rsidR="00D0060C">
        <w:rPr>
          <w:rFonts w:asciiTheme="minorHAnsi" w:hAnsiTheme="minorHAnsi" w:cstheme="minorBidi"/>
          <w:sz w:val="22"/>
          <w:szCs w:val="22"/>
        </w:rPr>
        <w:t xml:space="preserve"> </w:t>
      </w:r>
      <w:r w:rsidRPr="090C4359" w:rsidR="00BE4EF7">
        <w:rPr>
          <w:rFonts w:asciiTheme="minorHAnsi" w:hAnsiTheme="minorHAnsi" w:cstheme="minorBidi"/>
          <w:sz w:val="22"/>
          <w:szCs w:val="22"/>
        </w:rPr>
        <w:t xml:space="preserve">children with medical complexity, </w:t>
      </w:r>
      <w:r w:rsidRPr="090C4359" w:rsidR="00344134">
        <w:rPr>
          <w:rFonts w:asciiTheme="minorHAnsi" w:hAnsiTheme="minorHAnsi" w:cstheme="minorBidi"/>
          <w:sz w:val="22"/>
          <w:szCs w:val="22"/>
        </w:rPr>
        <w:t>Birchley et al have undertaken a</w:t>
      </w:r>
      <w:r w:rsidRPr="090C4359" w:rsidR="00763957">
        <w:rPr>
          <w:rFonts w:asciiTheme="minorHAnsi" w:hAnsiTheme="minorHAnsi" w:cstheme="minorBidi"/>
          <w:sz w:val="22"/>
          <w:szCs w:val="22"/>
        </w:rPr>
        <w:t xml:space="preserve"> very</w:t>
      </w:r>
      <w:r w:rsidRPr="090C4359" w:rsidR="00344134">
        <w:rPr>
          <w:rFonts w:asciiTheme="minorHAnsi" w:hAnsiTheme="minorHAnsi" w:cstheme="minorBidi"/>
          <w:sz w:val="22"/>
          <w:szCs w:val="22"/>
        </w:rPr>
        <w:t xml:space="preserve"> recent</w:t>
      </w:r>
      <w:r w:rsidRPr="090C4359" w:rsidR="0031463E">
        <w:rPr>
          <w:rFonts w:asciiTheme="minorHAnsi" w:hAnsiTheme="minorHAnsi" w:cstheme="minorBidi"/>
          <w:sz w:val="22"/>
          <w:szCs w:val="22"/>
        </w:rPr>
        <w:t xml:space="preserve"> </w:t>
      </w:r>
      <w:r w:rsidRPr="090C4359" w:rsidR="00CD0A41">
        <w:rPr>
          <w:rFonts w:asciiTheme="minorHAnsi" w:hAnsiTheme="minorHAnsi" w:cstheme="minorBidi"/>
          <w:sz w:val="22"/>
          <w:szCs w:val="22"/>
        </w:rPr>
        <w:t>D</w:t>
      </w:r>
      <w:r w:rsidRPr="090C4359" w:rsidR="0031463E">
        <w:rPr>
          <w:rFonts w:asciiTheme="minorHAnsi" w:hAnsiTheme="minorHAnsi" w:cstheme="minorBidi"/>
          <w:sz w:val="22"/>
          <w:szCs w:val="22"/>
        </w:rPr>
        <w:t>e</w:t>
      </w:r>
      <w:r w:rsidRPr="090C4359" w:rsidR="00B27F5A">
        <w:rPr>
          <w:rFonts w:asciiTheme="minorHAnsi" w:hAnsiTheme="minorHAnsi" w:cstheme="minorBidi"/>
          <w:sz w:val="22"/>
          <w:szCs w:val="22"/>
        </w:rPr>
        <w:t>l</w:t>
      </w:r>
      <w:r w:rsidRPr="090C4359" w:rsidR="0031463E">
        <w:rPr>
          <w:rFonts w:asciiTheme="minorHAnsi" w:hAnsiTheme="minorHAnsi" w:cstheme="minorBidi"/>
          <w:sz w:val="22"/>
          <w:szCs w:val="22"/>
        </w:rPr>
        <w:t>phi</w:t>
      </w:r>
      <w:r w:rsidRPr="090C4359" w:rsidR="00344134">
        <w:rPr>
          <w:rFonts w:asciiTheme="minorHAnsi" w:hAnsiTheme="minorHAnsi" w:cstheme="minorBidi"/>
          <w:sz w:val="22"/>
          <w:szCs w:val="22"/>
        </w:rPr>
        <w:t xml:space="preserve"> study </w:t>
      </w:r>
      <w:r w:rsidRPr="090C4359" w:rsidR="00AA68AF">
        <w:rPr>
          <w:rFonts w:asciiTheme="minorHAnsi" w:hAnsiTheme="minorHAnsi" w:cstheme="minorBidi"/>
          <w:sz w:val="22"/>
          <w:szCs w:val="22"/>
        </w:rPr>
        <w:t>surveying 99 healthcare professionals</w:t>
      </w:r>
      <w:r w:rsidRPr="090C4359" w:rsidR="00B27F5A">
        <w:rPr>
          <w:rFonts w:asciiTheme="minorHAnsi" w:hAnsiTheme="minorHAnsi" w:cstheme="minorBidi"/>
          <w:sz w:val="22"/>
          <w:szCs w:val="22"/>
        </w:rPr>
        <w:t xml:space="preserve"> at a te</w:t>
      </w:r>
      <w:r w:rsidRPr="090C4359" w:rsidR="003444E4">
        <w:rPr>
          <w:rFonts w:asciiTheme="minorHAnsi" w:hAnsiTheme="minorHAnsi" w:cstheme="minorBidi"/>
          <w:sz w:val="22"/>
          <w:szCs w:val="22"/>
        </w:rPr>
        <w:t>r</w:t>
      </w:r>
      <w:r w:rsidRPr="090C4359" w:rsidR="00763338">
        <w:rPr>
          <w:rFonts w:asciiTheme="minorHAnsi" w:hAnsiTheme="minorHAnsi" w:cstheme="minorBidi"/>
          <w:sz w:val="22"/>
          <w:szCs w:val="22"/>
        </w:rPr>
        <w:t>t</w:t>
      </w:r>
      <w:r w:rsidRPr="090C4359" w:rsidR="003444E4">
        <w:rPr>
          <w:rFonts w:asciiTheme="minorHAnsi" w:hAnsiTheme="minorHAnsi" w:cstheme="minorBidi"/>
          <w:sz w:val="22"/>
          <w:szCs w:val="22"/>
        </w:rPr>
        <w:t>i</w:t>
      </w:r>
      <w:r w:rsidRPr="090C4359" w:rsidR="00763338">
        <w:rPr>
          <w:rFonts w:asciiTheme="minorHAnsi" w:hAnsiTheme="minorHAnsi" w:cstheme="minorBidi"/>
          <w:sz w:val="22"/>
          <w:szCs w:val="22"/>
        </w:rPr>
        <w:t>ary</w:t>
      </w:r>
      <w:r w:rsidRPr="090C4359" w:rsidR="00B27F5A">
        <w:rPr>
          <w:rFonts w:asciiTheme="minorHAnsi" w:hAnsiTheme="minorHAnsi" w:cstheme="minorBidi"/>
          <w:sz w:val="22"/>
          <w:szCs w:val="22"/>
        </w:rPr>
        <w:t xml:space="preserve"> </w:t>
      </w:r>
      <w:r w:rsidRPr="090C4359" w:rsidR="00763338">
        <w:rPr>
          <w:rFonts w:asciiTheme="minorHAnsi" w:hAnsiTheme="minorHAnsi" w:cstheme="minorBidi"/>
          <w:sz w:val="22"/>
          <w:szCs w:val="22"/>
        </w:rPr>
        <w:t>chil</w:t>
      </w:r>
      <w:r w:rsidRPr="090C4359" w:rsidR="00B27F5A">
        <w:rPr>
          <w:rFonts w:asciiTheme="minorHAnsi" w:hAnsiTheme="minorHAnsi" w:cstheme="minorBidi"/>
          <w:sz w:val="22"/>
          <w:szCs w:val="22"/>
        </w:rPr>
        <w:t>dren’s hospital in England</w:t>
      </w:r>
      <w:r w:rsidRPr="090C4359" w:rsidR="00763338">
        <w:rPr>
          <w:rFonts w:asciiTheme="minorHAnsi" w:hAnsiTheme="minorHAnsi" w:cstheme="minorBidi"/>
          <w:sz w:val="22"/>
          <w:szCs w:val="22"/>
        </w:rPr>
        <w:t xml:space="preserve">, </w:t>
      </w:r>
      <w:r w:rsidRPr="090C4359" w:rsidR="00AA68AF">
        <w:rPr>
          <w:rFonts w:asciiTheme="minorHAnsi" w:hAnsiTheme="minorHAnsi" w:cstheme="minorBidi"/>
          <w:sz w:val="22"/>
          <w:szCs w:val="22"/>
        </w:rPr>
        <w:t>in order to d</w:t>
      </w:r>
      <w:r w:rsidRPr="090C4359" w:rsidR="00CD0A41">
        <w:rPr>
          <w:rFonts w:asciiTheme="minorHAnsi" w:hAnsiTheme="minorHAnsi" w:cstheme="minorBidi"/>
          <w:sz w:val="22"/>
          <w:szCs w:val="22"/>
        </w:rPr>
        <w:t>e</w:t>
      </w:r>
      <w:r w:rsidRPr="090C4359" w:rsidR="00B96BFA">
        <w:rPr>
          <w:rFonts w:asciiTheme="minorHAnsi" w:hAnsiTheme="minorHAnsi" w:cstheme="minorBidi"/>
          <w:sz w:val="22"/>
          <w:szCs w:val="22"/>
        </w:rPr>
        <w:t>velop</w:t>
      </w:r>
      <w:r w:rsidRPr="090C4359" w:rsidR="00AA68AF">
        <w:rPr>
          <w:rFonts w:asciiTheme="minorHAnsi" w:hAnsiTheme="minorHAnsi" w:cstheme="minorBidi"/>
          <w:sz w:val="22"/>
          <w:szCs w:val="22"/>
        </w:rPr>
        <w:t xml:space="preserve"> a consensus approach to </w:t>
      </w:r>
      <w:r w:rsidRPr="090C4359" w:rsidR="00156181">
        <w:rPr>
          <w:rFonts w:asciiTheme="minorHAnsi" w:hAnsiTheme="minorHAnsi" w:cstheme="minorBidi"/>
          <w:sz w:val="22"/>
          <w:szCs w:val="22"/>
        </w:rPr>
        <w:t xml:space="preserve">case </w:t>
      </w:r>
      <w:r w:rsidRPr="090C4359" w:rsidR="002C7A3A">
        <w:rPr>
          <w:rFonts w:asciiTheme="minorHAnsi" w:hAnsiTheme="minorHAnsi" w:cstheme="minorBidi"/>
          <w:sz w:val="22"/>
          <w:szCs w:val="22"/>
        </w:rPr>
        <w:t>manag</w:t>
      </w:r>
      <w:r w:rsidRPr="090C4359" w:rsidR="00156181">
        <w:rPr>
          <w:rFonts w:asciiTheme="minorHAnsi" w:hAnsiTheme="minorHAnsi" w:cstheme="minorBidi"/>
          <w:sz w:val="22"/>
          <w:szCs w:val="22"/>
        </w:rPr>
        <w:t>ement.</w:t>
      </w:r>
      <w:r w:rsidRPr="090C4359" w:rsidR="00B96BFA">
        <w:rPr>
          <w:rStyle w:val="FootnoteReference"/>
          <w:rFonts w:asciiTheme="minorHAnsi" w:hAnsiTheme="minorHAnsi" w:cstheme="minorBidi"/>
          <w:sz w:val="22"/>
          <w:szCs w:val="22"/>
        </w:rPr>
        <w:footnoteReference w:id="277"/>
      </w:r>
      <w:r w:rsidRPr="090C4359" w:rsidR="003444E4">
        <w:rPr>
          <w:rFonts w:asciiTheme="minorHAnsi" w:hAnsiTheme="minorHAnsi" w:cstheme="minorBidi"/>
          <w:sz w:val="22"/>
          <w:szCs w:val="22"/>
        </w:rPr>
        <w:t xml:space="preserve"> </w:t>
      </w:r>
      <w:r w:rsidRPr="090C4359" w:rsidR="00402FA1">
        <w:rPr>
          <w:rFonts w:asciiTheme="minorHAnsi" w:hAnsiTheme="minorHAnsi" w:cstheme="minorBidi"/>
          <w:sz w:val="22"/>
          <w:szCs w:val="22"/>
        </w:rPr>
        <w:t>The</w:t>
      </w:r>
      <w:r w:rsidRPr="090C4359" w:rsidR="005A1C52">
        <w:rPr>
          <w:rFonts w:asciiTheme="minorHAnsi" w:hAnsiTheme="minorHAnsi" w:cstheme="minorBidi"/>
          <w:sz w:val="22"/>
          <w:szCs w:val="22"/>
        </w:rPr>
        <w:t xml:space="preserve"> study identified</w:t>
      </w:r>
      <w:r w:rsidRPr="090C4359" w:rsidR="00402FA1">
        <w:rPr>
          <w:rFonts w:asciiTheme="minorHAnsi" w:hAnsiTheme="minorHAnsi" w:cstheme="minorBidi"/>
          <w:sz w:val="22"/>
          <w:szCs w:val="22"/>
        </w:rPr>
        <w:t xml:space="preserve"> 69 normative statements</w:t>
      </w:r>
      <w:r w:rsidRPr="090C4359" w:rsidR="005A1C52">
        <w:rPr>
          <w:rFonts w:asciiTheme="minorHAnsi" w:hAnsiTheme="minorHAnsi" w:cstheme="minorBidi"/>
          <w:sz w:val="22"/>
          <w:szCs w:val="22"/>
        </w:rPr>
        <w:t xml:space="preserve"> </w:t>
      </w:r>
      <w:r w:rsidRPr="090C4359" w:rsidR="00485E77">
        <w:rPr>
          <w:rFonts w:asciiTheme="minorHAnsi" w:hAnsiTheme="minorHAnsi" w:cstheme="minorBidi"/>
          <w:sz w:val="22"/>
          <w:szCs w:val="22"/>
        </w:rPr>
        <w:t>that</w:t>
      </w:r>
      <w:r w:rsidRPr="090C4359" w:rsidR="005A1C52">
        <w:rPr>
          <w:rFonts w:asciiTheme="minorHAnsi" w:hAnsiTheme="minorHAnsi" w:cstheme="minorBidi"/>
          <w:sz w:val="22"/>
          <w:szCs w:val="22"/>
        </w:rPr>
        <w:t xml:space="preserve"> Birchley et al</w:t>
      </w:r>
      <w:r w:rsidRPr="090C4359" w:rsidR="00402FA1">
        <w:rPr>
          <w:rFonts w:asciiTheme="minorHAnsi" w:hAnsiTheme="minorHAnsi" w:cstheme="minorBidi"/>
          <w:sz w:val="22"/>
          <w:szCs w:val="22"/>
        </w:rPr>
        <w:t xml:space="preserve"> grouped into seven key themes: standardised</w:t>
      </w:r>
      <w:r w:rsidRPr="090C4359" w:rsidR="00402FA1">
        <w:rPr>
          <w:rFonts w:asciiTheme="minorHAnsi" w:hAnsiTheme="minorHAnsi" w:cstheme="minorBidi"/>
        </w:rPr>
        <w:t xml:space="preserve"> </w:t>
      </w:r>
      <w:r w:rsidRPr="090C4359" w:rsidR="00402FA1">
        <w:rPr>
          <w:rFonts w:asciiTheme="minorHAnsi" w:hAnsiTheme="minorHAnsi" w:cstheme="minorBidi"/>
          <w:sz w:val="22"/>
          <w:szCs w:val="22"/>
        </w:rPr>
        <w:t>approaches to communicating with families; processes for interprofessional communication; processes for shared decision-making in the child’s best interests; role of the multidisciplinary team (MDT); managing professional</w:t>
      </w:r>
      <w:r w:rsidRPr="090C4359" w:rsidR="005A1C52">
        <w:rPr>
          <w:rFonts w:asciiTheme="minorHAnsi" w:hAnsiTheme="minorHAnsi" w:cstheme="minorBidi"/>
          <w:sz w:val="22"/>
          <w:szCs w:val="22"/>
        </w:rPr>
        <w:t>-</w:t>
      </w:r>
      <w:r w:rsidRPr="090C4359" w:rsidR="00402FA1">
        <w:rPr>
          <w:rFonts w:asciiTheme="minorHAnsi" w:hAnsiTheme="minorHAnsi" w:cstheme="minorBidi"/>
          <w:sz w:val="22"/>
          <w:szCs w:val="22"/>
        </w:rPr>
        <w:t>parental disagreement and conflict; the role of clinical psychologists; and processes to support staff.</w:t>
      </w:r>
      <w:r w:rsidRPr="090C4359" w:rsidR="00402FA1">
        <w:rPr>
          <w:rStyle w:val="FootnoteReference"/>
          <w:rFonts w:asciiTheme="minorHAnsi" w:hAnsiTheme="minorHAnsi" w:cstheme="minorBidi"/>
          <w:sz w:val="22"/>
          <w:szCs w:val="22"/>
        </w:rPr>
        <w:footnoteReference w:id="278"/>
      </w:r>
      <w:r w:rsidRPr="090C4359" w:rsidR="00402FA1">
        <w:rPr>
          <w:rFonts w:asciiTheme="minorHAnsi" w:hAnsiTheme="minorHAnsi" w:cstheme="minorBidi"/>
          <w:sz w:val="22"/>
          <w:szCs w:val="22"/>
        </w:rPr>
        <w:t xml:space="preserve"> </w:t>
      </w:r>
      <w:r w:rsidRPr="090C4359" w:rsidR="003C1047">
        <w:rPr>
          <w:rFonts w:asciiTheme="minorHAnsi" w:hAnsiTheme="minorHAnsi" w:cstheme="minorBidi"/>
          <w:sz w:val="22"/>
          <w:szCs w:val="22"/>
        </w:rPr>
        <w:t>The</w:t>
      </w:r>
      <w:r w:rsidRPr="090C4359" w:rsidR="00761A16">
        <w:rPr>
          <w:rFonts w:asciiTheme="minorHAnsi" w:hAnsiTheme="minorHAnsi" w:cstheme="minorBidi"/>
          <w:sz w:val="22"/>
          <w:szCs w:val="22"/>
        </w:rPr>
        <w:t>y note that the</w:t>
      </w:r>
      <w:r w:rsidRPr="090C4359" w:rsidR="003C1047">
        <w:rPr>
          <w:rFonts w:asciiTheme="minorHAnsi" w:hAnsiTheme="minorHAnsi" w:cstheme="minorBidi"/>
          <w:sz w:val="22"/>
          <w:szCs w:val="22"/>
        </w:rPr>
        <w:t xml:space="preserve"> study is</w:t>
      </w:r>
      <w:r w:rsidRPr="090C4359" w:rsidR="00607DA2">
        <w:rPr>
          <w:rFonts w:asciiTheme="minorHAnsi" w:hAnsiTheme="minorHAnsi" w:cstheme="minorBidi"/>
          <w:sz w:val="22"/>
          <w:szCs w:val="22"/>
        </w:rPr>
        <w:t xml:space="preserve"> inevitably limited by its exclusion of the views of families and the child patient</w:t>
      </w:r>
      <w:r w:rsidRPr="090C4359" w:rsidR="003C1047">
        <w:rPr>
          <w:rFonts w:asciiTheme="minorHAnsi" w:hAnsiTheme="minorHAnsi" w:cstheme="minorBidi"/>
          <w:sz w:val="22"/>
          <w:szCs w:val="22"/>
        </w:rPr>
        <w:t xml:space="preserve"> </w:t>
      </w:r>
      <w:r w:rsidRPr="090C4359" w:rsidR="00740775">
        <w:rPr>
          <w:rFonts w:asciiTheme="minorHAnsi" w:hAnsiTheme="minorHAnsi" w:cstheme="minorBidi"/>
          <w:sz w:val="22"/>
          <w:szCs w:val="22"/>
        </w:rPr>
        <w:t xml:space="preserve">and observe that this </w:t>
      </w:r>
      <w:r w:rsidRPr="090C4359" w:rsidR="00607DA2">
        <w:rPr>
          <w:rFonts w:asciiTheme="minorHAnsi" w:hAnsiTheme="minorHAnsi" w:cstheme="minorBidi"/>
          <w:sz w:val="22"/>
          <w:szCs w:val="22"/>
        </w:rPr>
        <w:t>is</w:t>
      </w:r>
      <w:r w:rsidRPr="090C4359" w:rsidR="00740775">
        <w:rPr>
          <w:rFonts w:asciiTheme="minorHAnsi" w:hAnsiTheme="minorHAnsi" w:cstheme="minorBidi"/>
          <w:sz w:val="22"/>
          <w:szCs w:val="22"/>
        </w:rPr>
        <w:t xml:space="preserve"> an area</w:t>
      </w:r>
      <w:r w:rsidRPr="090C4359" w:rsidR="00607DA2">
        <w:rPr>
          <w:rFonts w:asciiTheme="minorHAnsi" w:hAnsiTheme="minorHAnsi" w:cstheme="minorBidi"/>
          <w:sz w:val="22"/>
          <w:szCs w:val="22"/>
        </w:rPr>
        <w:t xml:space="preserve"> in need of further research.</w:t>
      </w:r>
      <w:r w:rsidRPr="090C4359" w:rsidR="003C1047">
        <w:rPr>
          <w:rFonts w:asciiTheme="minorHAnsi" w:hAnsiTheme="minorHAnsi" w:cstheme="minorBidi"/>
          <w:sz w:val="22"/>
          <w:szCs w:val="22"/>
        </w:rPr>
        <w:t xml:space="preserve"> </w:t>
      </w:r>
    </w:p>
    <w:p w:rsidRPr="00763E94" w:rsidR="00D907FF" w:rsidP="00215352" w:rsidRDefault="00D907FF" w14:paraId="0592F8A2" w14:textId="77777777">
      <w:pPr>
        <w:jc w:val="both"/>
        <w:rPr>
          <w:i/>
          <w:iCs/>
          <w:sz w:val="24"/>
          <w:szCs w:val="24"/>
        </w:rPr>
      </w:pPr>
    </w:p>
    <w:p w:rsidRPr="00A12626" w:rsidR="001E0576" w:rsidP="003E55AE" w:rsidRDefault="003E55AE" w14:paraId="5C33F7E4" w14:textId="7EFE695A">
      <w:pPr>
        <w:jc w:val="both"/>
        <w:rPr>
          <w:b/>
          <w:color w:val="44546A" w:themeColor="text2"/>
          <w:sz w:val="24"/>
          <w:szCs w:val="24"/>
          <w:u w:val="single"/>
        </w:rPr>
      </w:pPr>
      <w:r>
        <w:rPr>
          <w:b/>
          <w:color w:val="002060"/>
          <w:sz w:val="24"/>
          <w:szCs w:val="24"/>
          <w:u w:val="single"/>
        </w:rPr>
        <w:t>b)</w:t>
      </w:r>
      <w:r w:rsidR="00D011EB">
        <w:rPr>
          <w:b/>
          <w:color w:val="002060"/>
          <w:sz w:val="24"/>
          <w:szCs w:val="24"/>
          <w:u w:val="single"/>
        </w:rPr>
        <w:t xml:space="preserve"> </w:t>
      </w:r>
      <w:r w:rsidR="00B57129">
        <w:rPr>
          <w:b/>
          <w:color w:val="002060"/>
          <w:sz w:val="24"/>
          <w:szCs w:val="24"/>
          <w:u w:val="single"/>
        </w:rPr>
        <w:t xml:space="preserve">Amber – </w:t>
      </w:r>
      <w:r w:rsidR="0009171D">
        <w:rPr>
          <w:b/>
          <w:color w:val="002060"/>
          <w:sz w:val="24"/>
          <w:szCs w:val="24"/>
          <w:u w:val="single"/>
        </w:rPr>
        <w:t>M</w:t>
      </w:r>
      <w:r w:rsidR="00B57129">
        <w:rPr>
          <w:b/>
          <w:color w:val="002060"/>
          <w:sz w:val="24"/>
          <w:szCs w:val="24"/>
          <w:u w:val="single"/>
        </w:rPr>
        <w:t xml:space="preserve">oderate </w:t>
      </w:r>
      <w:r w:rsidR="0009171D">
        <w:rPr>
          <w:b/>
          <w:color w:val="002060"/>
          <w:sz w:val="24"/>
          <w:szCs w:val="24"/>
          <w:u w:val="single"/>
        </w:rPr>
        <w:t>D</w:t>
      </w:r>
      <w:r w:rsidR="00B57129">
        <w:rPr>
          <w:b/>
          <w:color w:val="002060"/>
          <w:sz w:val="24"/>
          <w:szCs w:val="24"/>
          <w:u w:val="single"/>
        </w:rPr>
        <w:t>is</w:t>
      </w:r>
      <w:r w:rsidR="00DE377F">
        <w:rPr>
          <w:b/>
          <w:color w:val="002060"/>
          <w:sz w:val="24"/>
          <w:szCs w:val="24"/>
          <w:u w:val="single"/>
        </w:rPr>
        <w:t>pute</w:t>
      </w:r>
      <w:r w:rsidR="0009171D">
        <w:rPr>
          <w:b/>
          <w:color w:val="002060"/>
          <w:sz w:val="24"/>
          <w:szCs w:val="24"/>
          <w:u w:val="single"/>
        </w:rPr>
        <w:t>: Third-</w:t>
      </w:r>
      <w:r w:rsidR="00DC669C">
        <w:rPr>
          <w:b/>
          <w:bCs/>
          <w:color w:val="002060"/>
          <w:sz w:val="24"/>
          <w:szCs w:val="24"/>
          <w:u w:val="single"/>
        </w:rPr>
        <w:t>party</w:t>
      </w:r>
      <w:r w:rsidR="0009171D">
        <w:rPr>
          <w:b/>
          <w:color w:val="002060"/>
          <w:sz w:val="24"/>
          <w:szCs w:val="24"/>
          <w:u w:val="single"/>
        </w:rPr>
        <w:t xml:space="preserve"> Involvement</w:t>
      </w:r>
    </w:p>
    <w:p w:rsidRPr="00A12626" w:rsidR="00D04F16" w:rsidP="00215352" w:rsidRDefault="00DA038B" w14:paraId="2C3064F9" w14:textId="7BE8C04F">
      <w:pPr>
        <w:jc w:val="both"/>
        <w:rPr>
          <w:i/>
          <w:color w:val="44546A" w:themeColor="text2"/>
          <w:sz w:val="24"/>
          <w:szCs w:val="24"/>
        </w:rPr>
      </w:pPr>
      <w:r w:rsidRPr="00CA26B2">
        <w:rPr>
          <w:i/>
          <w:color w:val="44546A" w:themeColor="text2"/>
          <w:sz w:val="24"/>
          <w:szCs w:val="24"/>
        </w:rPr>
        <w:t>iii</w:t>
      </w:r>
      <w:r w:rsidRPr="00CA26B2" w:rsidR="00D04F16">
        <w:rPr>
          <w:i/>
          <w:color w:val="44546A" w:themeColor="text2"/>
          <w:sz w:val="24"/>
          <w:szCs w:val="24"/>
        </w:rPr>
        <w:t xml:space="preserve">) </w:t>
      </w:r>
      <w:r w:rsidRPr="00CA26B2" w:rsidR="00236C0C">
        <w:rPr>
          <w:i/>
          <w:color w:val="002060"/>
          <w:sz w:val="24"/>
          <w:szCs w:val="24"/>
        </w:rPr>
        <w:t xml:space="preserve">Expert </w:t>
      </w:r>
      <w:r w:rsidRPr="00CA26B2" w:rsidR="00117769">
        <w:rPr>
          <w:i/>
          <w:color w:val="002060"/>
          <w:sz w:val="24"/>
          <w:szCs w:val="24"/>
        </w:rPr>
        <w:t>s</w:t>
      </w:r>
      <w:r w:rsidRPr="00CA26B2" w:rsidR="00D04F16">
        <w:rPr>
          <w:i/>
          <w:color w:val="002060"/>
          <w:sz w:val="24"/>
          <w:szCs w:val="24"/>
        </w:rPr>
        <w:t xml:space="preserve">econd </w:t>
      </w:r>
      <w:r w:rsidRPr="00CA26B2" w:rsidR="00117769">
        <w:rPr>
          <w:i/>
          <w:color w:val="002060"/>
          <w:sz w:val="24"/>
          <w:szCs w:val="24"/>
        </w:rPr>
        <w:t>o</w:t>
      </w:r>
      <w:r w:rsidRPr="00CA26B2" w:rsidR="00D04F16">
        <w:rPr>
          <w:i/>
          <w:color w:val="002060"/>
          <w:sz w:val="24"/>
          <w:szCs w:val="24"/>
        </w:rPr>
        <w:t>pinion</w:t>
      </w:r>
    </w:p>
    <w:p w:rsidRPr="00763E94" w:rsidR="008F0DFE" w:rsidP="00EE3EC7" w:rsidRDefault="00A37DA0" w14:paraId="7D1AABB1" w14:textId="664F4E68">
      <w:pPr>
        <w:pStyle w:val="Normal0"/>
        <w:numPr>
          <w:ilvl w:val="0"/>
          <w:numId w:val="2"/>
        </w:numPr>
        <w:jc w:val="both"/>
        <w:rPr>
          <w:rFonts w:asciiTheme="minorHAnsi" w:hAnsiTheme="minorHAnsi" w:cstheme="minorHAnsi"/>
          <w:sz w:val="22"/>
          <w:szCs w:val="22"/>
        </w:rPr>
      </w:pPr>
      <w:r w:rsidRPr="090C4359">
        <w:rPr>
          <w:rFonts w:asciiTheme="minorHAnsi" w:hAnsiTheme="minorHAnsi" w:cstheme="minorBidi"/>
          <w:sz w:val="22"/>
          <w:szCs w:val="22"/>
        </w:rPr>
        <w:t>As a</w:t>
      </w:r>
      <w:r w:rsidRPr="090C4359" w:rsidR="008D7592">
        <w:rPr>
          <w:rFonts w:asciiTheme="minorHAnsi" w:hAnsiTheme="minorHAnsi" w:cstheme="minorBidi"/>
          <w:sz w:val="22"/>
          <w:szCs w:val="22"/>
        </w:rPr>
        <w:t>lready discussed in Austin’s</w:t>
      </w:r>
      <w:r w:rsidRPr="090C4359">
        <w:rPr>
          <w:rFonts w:asciiTheme="minorHAnsi" w:hAnsiTheme="minorHAnsi" w:cstheme="minorBidi"/>
          <w:sz w:val="22"/>
          <w:szCs w:val="22"/>
        </w:rPr>
        <w:t xml:space="preserve"> earlier</w:t>
      </w:r>
      <w:r w:rsidRPr="090C4359" w:rsidR="008D7592">
        <w:rPr>
          <w:rFonts w:asciiTheme="minorHAnsi" w:hAnsiTheme="minorHAnsi" w:cstheme="minorBidi"/>
          <w:sz w:val="22"/>
          <w:szCs w:val="22"/>
        </w:rPr>
        <w:t xml:space="preserve"> r</w:t>
      </w:r>
      <w:r w:rsidRPr="090C4359">
        <w:rPr>
          <w:rFonts w:asciiTheme="minorHAnsi" w:hAnsiTheme="minorHAnsi" w:cstheme="minorBidi"/>
          <w:sz w:val="22"/>
          <w:szCs w:val="22"/>
        </w:rPr>
        <w:t xml:space="preserve">eview, </w:t>
      </w:r>
      <w:r w:rsidRPr="090C4359" w:rsidR="006E42AF">
        <w:rPr>
          <w:rFonts w:asciiTheme="minorHAnsi" w:hAnsiTheme="minorHAnsi" w:cstheme="minorBidi"/>
          <w:sz w:val="22"/>
          <w:szCs w:val="22"/>
        </w:rPr>
        <w:t>seeking a</w:t>
      </w:r>
      <w:r w:rsidRPr="090C4359" w:rsidR="00236C0C">
        <w:rPr>
          <w:rFonts w:asciiTheme="minorHAnsi" w:hAnsiTheme="minorHAnsi" w:cstheme="minorBidi"/>
          <w:sz w:val="22"/>
          <w:szCs w:val="22"/>
        </w:rPr>
        <w:t>n expert</w:t>
      </w:r>
      <w:r w:rsidRPr="090C4359" w:rsidR="002B2CE7">
        <w:rPr>
          <w:rFonts w:asciiTheme="minorHAnsi" w:hAnsiTheme="minorHAnsi" w:cstheme="minorBidi"/>
          <w:sz w:val="22"/>
          <w:szCs w:val="22"/>
        </w:rPr>
        <w:t xml:space="preserve"> second</w:t>
      </w:r>
      <w:r w:rsidRPr="090C4359" w:rsidR="006E42AF">
        <w:rPr>
          <w:rFonts w:asciiTheme="minorHAnsi" w:hAnsiTheme="minorHAnsi" w:cstheme="minorBidi"/>
          <w:sz w:val="22"/>
          <w:szCs w:val="22"/>
        </w:rPr>
        <w:t xml:space="preserve"> opinion is a usual next step if discussions have been unsuccessful.</w:t>
      </w:r>
      <w:r w:rsidRPr="090C4359" w:rsidR="006379BF">
        <w:rPr>
          <w:rStyle w:val="FootnoteReference"/>
          <w:rFonts w:asciiTheme="minorHAnsi" w:hAnsiTheme="minorHAnsi" w:cstheme="minorBidi"/>
          <w:sz w:val="22"/>
          <w:szCs w:val="22"/>
        </w:rPr>
        <w:t xml:space="preserve"> </w:t>
      </w:r>
      <w:r w:rsidRPr="090C4359" w:rsidR="006379BF">
        <w:rPr>
          <w:rStyle w:val="FootnoteReference"/>
          <w:rFonts w:asciiTheme="minorHAnsi" w:hAnsiTheme="minorHAnsi" w:cstheme="minorBidi"/>
          <w:sz w:val="22"/>
          <w:szCs w:val="22"/>
        </w:rPr>
        <w:footnoteReference w:id="279"/>
      </w:r>
      <w:r w:rsidRPr="090C4359" w:rsidR="006E42AF">
        <w:rPr>
          <w:rFonts w:asciiTheme="minorHAnsi" w:hAnsiTheme="minorHAnsi" w:cstheme="minorBidi"/>
          <w:sz w:val="22"/>
          <w:szCs w:val="22"/>
        </w:rPr>
        <w:t xml:space="preserve"> </w:t>
      </w:r>
      <w:r w:rsidRPr="090C4359" w:rsidR="003307D4">
        <w:rPr>
          <w:rFonts w:asciiTheme="minorHAnsi" w:hAnsiTheme="minorHAnsi" w:cstheme="minorBidi"/>
          <w:sz w:val="22"/>
          <w:szCs w:val="22"/>
        </w:rPr>
        <w:t>Yet d</w:t>
      </w:r>
      <w:r w:rsidRPr="090C4359" w:rsidR="00246AD9">
        <w:rPr>
          <w:rFonts w:asciiTheme="minorHAnsi" w:hAnsiTheme="minorHAnsi" w:cstheme="minorBidi"/>
          <w:sz w:val="22"/>
          <w:szCs w:val="22"/>
        </w:rPr>
        <w:t>espite Birchley noting that ‘[r]eferral for external second opinions has been a consistent recommendation for reducing conflict (…),’</w:t>
      </w:r>
      <w:r w:rsidRPr="090C4359" w:rsidR="00246AD9">
        <w:rPr>
          <w:rStyle w:val="FootnoteReference"/>
          <w:rFonts w:asciiTheme="minorHAnsi" w:hAnsiTheme="minorHAnsi" w:cstheme="minorBidi"/>
          <w:sz w:val="22"/>
          <w:szCs w:val="22"/>
        </w:rPr>
        <w:footnoteReference w:id="280"/>
      </w:r>
      <w:r w:rsidRPr="090C4359" w:rsidR="00246AD9">
        <w:rPr>
          <w:rFonts w:asciiTheme="minorHAnsi" w:hAnsiTheme="minorHAnsi" w:cstheme="minorBidi"/>
          <w:sz w:val="22"/>
          <w:szCs w:val="22"/>
        </w:rPr>
        <w:t xml:space="preserve"> there remains the same lack of evidence on their effectiveness or the</w:t>
      </w:r>
      <w:r w:rsidRPr="090C4359" w:rsidR="009D221B">
        <w:rPr>
          <w:rFonts w:asciiTheme="minorHAnsi" w:hAnsiTheme="minorHAnsi" w:cstheme="minorBidi"/>
          <w:sz w:val="22"/>
          <w:szCs w:val="22"/>
        </w:rPr>
        <w:t>ir</w:t>
      </w:r>
      <w:r w:rsidRPr="090C4359" w:rsidR="00246AD9">
        <w:rPr>
          <w:rFonts w:asciiTheme="minorHAnsi" w:hAnsiTheme="minorHAnsi" w:cstheme="minorBidi"/>
          <w:sz w:val="22"/>
          <w:szCs w:val="22"/>
        </w:rPr>
        <w:t xml:space="preserve"> frequency of use as was identified by Austin in 2018. </w:t>
      </w:r>
      <w:r w:rsidRPr="090C4359" w:rsidR="00A60005">
        <w:rPr>
          <w:rStyle w:val="FootnoteReference"/>
          <w:rFonts w:asciiTheme="minorHAnsi" w:hAnsiTheme="minorHAnsi" w:cstheme="minorBidi"/>
          <w:sz w:val="22"/>
          <w:szCs w:val="22"/>
        </w:rPr>
        <w:footnoteReference w:id="281"/>
      </w:r>
      <w:r w:rsidRPr="090C4359" w:rsidR="00A60005">
        <w:rPr>
          <w:rFonts w:asciiTheme="minorHAnsi" w:hAnsiTheme="minorHAnsi" w:cstheme="minorBidi"/>
          <w:sz w:val="22"/>
          <w:szCs w:val="22"/>
        </w:rPr>
        <w:t xml:space="preserve"> </w:t>
      </w:r>
      <w:r w:rsidRPr="090C4359" w:rsidR="008F0DFE">
        <w:rPr>
          <w:rFonts w:asciiTheme="minorHAnsi" w:hAnsiTheme="minorHAnsi" w:cstheme="minorBidi"/>
          <w:sz w:val="22"/>
          <w:szCs w:val="22"/>
        </w:rPr>
        <w:t xml:space="preserve">What mention that there </w:t>
      </w:r>
      <w:r w:rsidRPr="090C4359" w:rsidR="008F0DFE">
        <w:rPr>
          <w:rFonts w:asciiTheme="minorHAnsi" w:hAnsiTheme="minorHAnsi" w:cstheme="minorBidi"/>
          <w:i/>
          <w:iCs/>
          <w:sz w:val="22"/>
          <w:szCs w:val="22"/>
        </w:rPr>
        <w:t>is</w:t>
      </w:r>
      <w:r w:rsidRPr="090C4359" w:rsidR="008F0DFE">
        <w:rPr>
          <w:rFonts w:asciiTheme="minorHAnsi" w:hAnsiTheme="minorHAnsi" w:cstheme="minorBidi"/>
          <w:sz w:val="22"/>
          <w:szCs w:val="22"/>
        </w:rPr>
        <w:t xml:space="preserve"> in the literature of expert second opinions draws attention to the difficulties and possible exacerbation of conflict that their usage may provoke. Wallis asks ‘Who decides on that opinion? Is it the parents? Parents often do not have access to professionals they trust and turn to social media and the web. If the doctors decide on the choice of a professional second opinion, they need to remain neutral in their choice to ensure they do not subconsciously or consciously invite someone they know will support their position.’</w:t>
      </w:r>
      <w:r w:rsidRPr="090C4359" w:rsidR="008F0DFE">
        <w:rPr>
          <w:rStyle w:val="FootnoteReference"/>
          <w:rFonts w:asciiTheme="minorHAnsi" w:hAnsiTheme="minorHAnsi" w:cstheme="minorBidi"/>
          <w:sz w:val="22"/>
          <w:szCs w:val="22"/>
        </w:rPr>
        <w:t xml:space="preserve"> </w:t>
      </w:r>
      <w:r w:rsidRPr="090C4359" w:rsidR="008F0DFE">
        <w:rPr>
          <w:rStyle w:val="FootnoteReference"/>
          <w:rFonts w:asciiTheme="minorHAnsi" w:hAnsiTheme="minorHAnsi" w:cstheme="minorBidi"/>
          <w:sz w:val="22"/>
          <w:szCs w:val="22"/>
        </w:rPr>
        <w:footnoteReference w:id="282"/>
      </w:r>
      <w:r w:rsidRPr="090C4359" w:rsidR="008F0DFE">
        <w:rPr>
          <w:rFonts w:asciiTheme="minorHAnsi" w:hAnsiTheme="minorHAnsi" w:cstheme="minorBidi"/>
          <w:sz w:val="22"/>
          <w:szCs w:val="22"/>
        </w:rPr>
        <w:t xml:space="preserve">  </w:t>
      </w:r>
      <w:r w:rsidRPr="090C4359" w:rsidR="004415C7">
        <w:rPr>
          <w:rFonts w:asciiTheme="minorHAnsi" w:hAnsiTheme="minorHAnsi" w:cstheme="minorBidi"/>
          <w:sz w:val="22"/>
          <w:szCs w:val="22"/>
        </w:rPr>
        <w:t>In Birchley et al’s  recent study they report a strong consensus in healthcare professionals on the need to nationally standardise processes for seeking second opinion, but less enthusiasm for their use as an element of an automatic conflict resolution pathway at a local level.</w:t>
      </w:r>
      <w:r w:rsidRPr="090C4359" w:rsidR="004415C7">
        <w:rPr>
          <w:rStyle w:val="FootnoteReference"/>
          <w:rFonts w:asciiTheme="minorHAnsi" w:hAnsiTheme="minorHAnsi" w:cstheme="minorBidi"/>
          <w:sz w:val="22"/>
          <w:szCs w:val="22"/>
        </w:rPr>
        <w:footnoteReference w:id="283"/>
      </w:r>
      <w:r w:rsidRPr="090C4359" w:rsidR="004415C7">
        <w:rPr>
          <w:rFonts w:asciiTheme="minorHAnsi" w:hAnsiTheme="minorHAnsi" w:cstheme="minorBidi"/>
          <w:sz w:val="22"/>
          <w:szCs w:val="22"/>
        </w:rPr>
        <w:t xml:space="preserve">  </w:t>
      </w:r>
    </w:p>
    <w:p w:rsidRPr="00763E94" w:rsidR="008F0DFE" w:rsidP="008F0DFE" w:rsidRDefault="008F0DFE" w14:paraId="1584E01E" w14:textId="77777777">
      <w:pPr>
        <w:pStyle w:val="ListParagraph"/>
        <w:ind w:left="502"/>
        <w:rPr>
          <w:rFonts w:cstheme="minorHAnsi"/>
        </w:rPr>
      </w:pPr>
    </w:p>
    <w:p w:rsidRPr="00763E94" w:rsidR="00081B4A" w:rsidP="00985338" w:rsidRDefault="00A9008F" w14:paraId="09A9F9FD" w14:textId="49BB91BD">
      <w:pPr>
        <w:pStyle w:val="ListParagraph"/>
        <w:numPr>
          <w:ilvl w:val="0"/>
          <w:numId w:val="2"/>
        </w:numPr>
        <w:jc w:val="both"/>
        <w:rPr>
          <w:rFonts w:cstheme="minorHAnsi"/>
        </w:rPr>
      </w:pPr>
      <w:r w:rsidRPr="090C4359">
        <w:t xml:space="preserve">That said, </w:t>
      </w:r>
      <w:r w:rsidRPr="090C4359" w:rsidR="00A0458B">
        <w:t>Expert Second Opinion</w:t>
      </w:r>
      <w:r w:rsidRPr="090C4359" w:rsidR="003C51BE">
        <w:t xml:space="preserve"> </w:t>
      </w:r>
      <w:r w:rsidRPr="090C4359" w:rsidR="003C51BE">
        <w:rPr>
          <w:i/>
          <w:iCs/>
        </w:rPr>
        <w:t>can</w:t>
      </w:r>
      <w:r w:rsidRPr="090C4359" w:rsidR="003C51BE">
        <w:t xml:space="preserve"> be a component of the</w:t>
      </w:r>
      <w:r w:rsidRPr="090C4359" w:rsidR="00020638">
        <w:t xml:space="preserve"> type of</w:t>
      </w:r>
      <w:r w:rsidRPr="090C4359" w:rsidR="003C51BE">
        <w:t xml:space="preserve"> C</w:t>
      </w:r>
      <w:r w:rsidRPr="090C4359" w:rsidR="006656E7">
        <w:t xml:space="preserve">onflict Management </w:t>
      </w:r>
      <w:r w:rsidRPr="090C4359" w:rsidR="003C51BE">
        <w:t>F</w:t>
      </w:r>
      <w:r w:rsidRPr="090C4359" w:rsidR="006656E7">
        <w:t>ramework</w:t>
      </w:r>
      <w:r w:rsidRPr="090C4359" w:rsidR="003C51BE">
        <w:t xml:space="preserve"> </w:t>
      </w:r>
      <w:r w:rsidRPr="090C4359" w:rsidR="00020638">
        <w:t>outlined</w:t>
      </w:r>
      <w:r w:rsidRPr="090C4359" w:rsidR="00DA5EBD">
        <w:t xml:space="preserve"> in ii)</w:t>
      </w:r>
      <w:r w:rsidRPr="090C4359" w:rsidR="00020638">
        <w:t xml:space="preserve"> above, and might</w:t>
      </w:r>
      <w:r w:rsidRPr="090C4359" w:rsidR="00290C2D">
        <w:t xml:space="preserve"> be</w:t>
      </w:r>
      <w:r w:rsidRPr="090C4359" w:rsidR="008904E7">
        <w:t xml:space="preserve"> particularly</w:t>
      </w:r>
      <w:r w:rsidRPr="090C4359" w:rsidR="00290C2D">
        <w:t xml:space="preserve"> appropriate where there is a dispute</w:t>
      </w:r>
      <w:r w:rsidRPr="090C4359" w:rsidR="00F70E51">
        <w:t xml:space="preserve"> between parents and clinicians</w:t>
      </w:r>
      <w:r w:rsidRPr="090C4359" w:rsidR="00290C2D">
        <w:t xml:space="preserve"> over the interpretation of medical fact</w:t>
      </w:r>
      <w:r w:rsidRPr="090C4359" w:rsidR="00020638">
        <w:t>.</w:t>
      </w:r>
      <w:r w:rsidRPr="090C4359" w:rsidR="00290C2D">
        <w:rPr>
          <w:rStyle w:val="FootnoteReference"/>
        </w:rPr>
        <w:footnoteReference w:id="284"/>
      </w:r>
      <w:r w:rsidRPr="090C4359" w:rsidR="00FA4233">
        <w:t xml:space="preserve"> </w:t>
      </w:r>
      <w:r w:rsidRPr="090C4359" w:rsidR="00020638">
        <w:t xml:space="preserve"> </w:t>
      </w:r>
      <w:r w:rsidRPr="090C4359" w:rsidR="00DA5EBD">
        <w:t>Such was the case in</w:t>
      </w:r>
      <w:r w:rsidRPr="090C4359" w:rsidR="00701EB2">
        <w:t xml:space="preserve"> </w:t>
      </w:r>
      <w:r w:rsidRPr="090C4359" w:rsidR="00701EB2">
        <w:rPr>
          <w:i/>
          <w:iCs/>
        </w:rPr>
        <w:t>Verden</w:t>
      </w:r>
      <w:r w:rsidRPr="090C4359" w:rsidR="00701EB2">
        <w:t xml:space="preserve">, </w:t>
      </w:r>
      <w:r w:rsidRPr="090C4359" w:rsidR="00DA5EBD">
        <w:t xml:space="preserve">where </w:t>
      </w:r>
      <w:r w:rsidRPr="090C4359" w:rsidR="005A2505">
        <w:t xml:space="preserve">the </w:t>
      </w:r>
      <w:r w:rsidRPr="090C4359" w:rsidR="009A5295">
        <w:t>focal point of disagreement was on what risks</w:t>
      </w:r>
      <w:r w:rsidRPr="090C4359" w:rsidR="000F3B3F">
        <w:t xml:space="preserve"> were posed by</w:t>
      </w:r>
      <w:r w:rsidRPr="090C4359" w:rsidR="002053A8">
        <w:t>,</w:t>
      </w:r>
      <w:r w:rsidRPr="090C4359" w:rsidR="000F3B3F">
        <w:t xml:space="preserve"> and</w:t>
      </w:r>
      <w:r w:rsidRPr="090C4359" w:rsidR="00DF070C">
        <w:t xml:space="preserve"> could just</w:t>
      </w:r>
      <w:r w:rsidRPr="090C4359" w:rsidR="00554E9E">
        <w:t>ifiably be taken</w:t>
      </w:r>
      <w:r w:rsidRPr="090C4359" w:rsidR="002053A8">
        <w:t>,</w:t>
      </w:r>
      <w:r w:rsidRPr="090C4359" w:rsidR="00554E9E">
        <w:t xml:space="preserve"> in relation to the proposed transplant and post-operative care</w:t>
      </w:r>
      <w:r w:rsidRPr="090C4359" w:rsidR="000F3B3F">
        <w:t>. T</w:t>
      </w:r>
      <w:r w:rsidRPr="090C4359" w:rsidR="00701EB2">
        <w:t>wo expert second opinions were sought</w:t>
      </w:r>
      <w:r w:rsidRPr="090C4359" w:rsidR="004D7F42">
        <w:t xml:space="preserve">. </w:t>
      </w:r>
      <w:r w:rsidRPr="090C4359" w:rsidR="00FB443E">
        <w:t xml:space="preserve">However, </w:t>
      </w:r>
      <w:r w:rsidRPr="090C4359" w:rsidR="00525679">
        <w:t>the kinds</w:t>
      </w:r>
      <w:r w:rsidRPr="090C4359" w:rsidR="00FB443E">
        <w:t xml:space="preserve"> of difficulties identified by Wallis </w:t>
      </w:r>
      <w:r w:rsidRPr="090C4359" w:rsidR="00CD6C04">
        <w:t xml:space="preserve">were apparent, with the family not persuaded </w:t>
      </w:r>
      <w:r w:rsidRPr="090C4359" w:rsidR="00525679">
        <w:t>by</w:t>
      </w:r>
      <w:r w:rsidRPr="090C4359" w:rsidR="00430D99">
        <w:t xml:space="preserve"> </w:t>
      </w:r>
      <w:r w:rsidRPr="090C4359" w:rsidR="00525679">
        <w:t>e</w:t>
      </w:r>
      <w:r w:rsidRPr="090C4359" w:rsidR="00815423">
        <w:t>ither t</w:t>
      </w:r>
      <w:r w:rsidRPr="090C4359" w:rsidR="007E3EEF">
        <w:t xml:space="preserve">he </w:t>
      </w:r>
      <w:r w:rsidRPr="090C4359" w:rsidR="00DE4DD3">
        <w:t xml:space="preserve">first expert </w:t>
      </w:r>
      <w:r w:rsidRPr="090C4359" w:rsidR="00815423">
        <w:t>opinion</w:t>
      </w:r>
      <w:r w:rsidRPr="090C4359" w:rsidR="00F05976">
        <w:t>,</w:t>
      </w:r>
      <w:r w:rsidRPr="090C4359" w:rsidR="009E532E">
        <w:t xml:space="preserve"> recommending William meet the palliative care team, </w:t>
      </w:r>
      <w:r w:rsidRPr="090C4359" w:rsidR="00F05976">
        <w:t>nor the</w:t>
      </w:r>
      <w:r w:rsidRPr="090C4359" w:rsidR="009E532E">
        <w:t xml:space="preserve"> second stating that a transplant was not in </w:t>
      </w:r>
      <w:r w:rsidRPr="090C4359" w:rsidR="00DB28AC">
        <w:t>William’s best interests unless active treatment was pursued</w:t>
      </w:r>
      <w:r w:rsidRPr="090C4359" w:rsidR="009B2A7D">
        <w:t>.</w:t>
      </w:r>
      <w:r w:rsidRPr="090C4359" w:rsidR="00DB28AC">
        <w:rPr>
          <w:rStyle w:val="FootnoteReference"/>
        </w:rPr>
        <w:footnoteReference w:id="285"/>
      </w:r>
      <w:r w:rsidRPr="090C4359" w:rsidR="009E532E">
        <w:t xml:space="preserve"> </w:t>
      </w:r>
      <w:r w:rsidRPr="090C4359" w:rsidR="00E63537">
        <w:t>The use of expert second opinion was therefore ineffective at resolving disagreement.</w:t>
      </w:r>
      <w:r w:rsidRPr="090C4359" w:rsidR="001A17BE">
        <w:t xml:space="preserve"> </w:t>
      </w:r>
      <w:r w:rsidRPr="090C4359" w:rsidR="00C0592D">
        <w:t xml:space="preserve">As </w:t>
      </w:r>
      <w:r w:rsidRPr="090C4359" w:rsidR="001A17BE">
        <w:t>Wallis contends</w:t>
      </w:r>
      <w:r w:rsidRPr="090C4359" w:rsidR="00C0592D">
        <w:t xml:space="preserve">, </w:t>
      </w:r>
      <w:r w:rsidRPr="090C4359" w:rsidR="001A17BE">
        <w:t>even when the parents chose the expert, when the opinion is delivered, it is often rejected</w:t>
      </w:r>
      <w:r w:rsidRPr="090C4359" w:rsidR="001A17BE">
        <w:rPr>
          <w:rStyle w:val="FootnoteReference"/>
        </w:rPr>
        <w:footnoteReference w:id="286"/>
      </w:r>
      <w:r w:rsidRPr="090C4359" w:rsidR="001A17BE">
        <w:t xml:space="preserve"> – particularly if it does not accord with the parents’ position.</w:t>
      </w:r>
    </w:p>
    <w:p w:rsidRPr="00FC29EC" w:rsidR="009F2BB2" w:rsidP="009F2BB2" w:rsidRDefault="009F2BB2" w14:paraId="62ABD5F1" w14:textId="77777777">
      <w:pPr>
        <w:jc w:val="both"/>
        <w:rPr>
          <w:i/>
          <w:iCs/>
          <w:color w:val="002060"/>
          <w:sz w:val="24"/>
          <w:szCs w:val="24"/>
        </w:rPr>
      </w:pPr>
    </w:p>
    <w:p w:rsidR="009F2BB2" w:rsidP="009F2BB2" w:rsidRDefault="009F2BB2" w14:paraId="753B77B5" w14:textId="6A6B0A4F">
      <w:pPr>
        <w:jc w:val="both"/>
        <w:rPr>
          <w:i/>
          <w:iCs/>
          <w:color w:val="002060"/>
          <w:sz w:val="24"/>
          <w:szCs w:val="24"/>
        </w:rPr>
      </w:pPr>
      <w:r>
        <w:rPr>
          <w:i/>
          <w:iCs/>
          <w:color w:val="002060"/>
          <w:sz w:val="24"/>
          <w:szCs w:val="24"/>
        </w:rPr>
        <w:t>i</w:t>
      </w:r>
      <w:r w:rsidRPr="00FC29EC">
        <w:rPr>
          <w:i/>
          <w:iCs/>
          <w:color w:val="002060"/>
          <w:sz w:val="24"/>
          <w:szCs w:val="24"/>
        </w:rPr>
        <w:t xml:space="preserve">v) </w:t>
      </w:r>
      <w:r>
        <w:rPr>
          <w:i/>
          <w:iCs/>
          <w:color w:val="002060"/>
          <w:sz w:val="24"/>
          <w:szCs w:val="24"/>
        </w:rPr>
        <w:t>C</w:t>
      </w:r>
      <w:r w:rsidRPr="00FC29EC">
        <w:rPr>
          <w:i/>
          <w:iCs/>
          <w:color w:val="002060"/>
          <w:sz w:val="24"/>
          <w:szCs w:val="24"/>
        </w:rPr>
        <w:t>linical Ethics Committees and other resolution forums</w:t>
      </w:r>
      <w:r>
        <w:rPr>
          <w:i/>
          <w:iCs/>
          <w:color w:val="002060"/>
          <w:sz w:val="24"/>
          <w:szCs w:val="24"/>
        </w:rPr>
        <w:t xml:space="preserve"> </w:t>
      </w:r>
    </w:p>
    <w:p w:rsidRPr="00BB6AD9" w:rsidR="00E64B6E" w:rsidP="00985338" w:rsidRDefault="00872701" w14:paraId="53EE758B" w14:textId="51654762">
      <w:pPr>
        <w:pStyle w:val="Normal0"/>
        <w:numPr>
          <w:ilvl w:val="0"/>
          <w:numId w:val="2"/>
        </w:numPr>
        <w:jc w:val="both"/>
        <w:rPr>
          <w:rFonts w:asciiTheme="minorHAnsi" w:hAnsiTheme="minorHAnsi" w:cstheme="minorHAnsi"/>
          <w:sz w:val="22"/>
          <w:szCs w:val="22"/>
        </w:rPr>
      </w:pPr>
      <w:r w:rsidRPr="090C4359">
        <w:rPr>
          <w:rFonts w:asciiTheme="minorHAnsi" w:hAnsiTheme="minorHAnsi" w:cstheme="minorBidi"/>
          <w:sz w:val="22"/>
          <w:szCs w:val="22"/>
        </w:rPr>
        <w:t>There has been</w:t>
      </w:r>
      <w:r w:rsidRPr="090C4359" w:rsidR="00CF2F03">
        <w:rPr>
          <w:rFonts w:asciiTheme="minorHAnsi" w:hAnsiTheme="minorHAnsi" w:cstheme="minorBidi"/>
          <w:sz w:val="22"/>
          <w:szCs w:val="22"/>
        </w:rPr>
        <w:t xml:space="preserve"> </w:t>
      </w:r>
      <w:r w:rsidRPr="090C4359">
        <w:rPr>
          <w:rFonts w:asciiTheme="minorHAnsi" w:hAnsiTheme="minorHAnsi" w:cstheme="minorBidi"/>
          <w:sz w:val="22"/>
          <w:szCs w:val="22"/>
        </w:rPr>
        <w:t>increased</w:t>
      </w:r>
      <w:r w:rsidRPr="090C4359" w:rsidR="009943AF">
        <w:rPr>
          <w:rFonts w:asciiTheme="minorHAnsi" w:hAnsiTheme="minorHAnsi" w:cstheme="minorBidi"/>
          <w:sz w:val="22"/>
          <w:szCs w:val="22"/>
        </w:rPr>
        <w:t xml:space="preserve"> </w:t>
      </w:r>
      <w:r w:rsidRPr="090C4359" w:rsidR="004605E2">
        <w:rPr>
          <w:rFonts w:asciiTheme="minorHAnsi" w:hAnsiTheme="minorHAnsi" w:cstheme="minorBidi"/>
          <w:sz w:val="22"/>
          <w:szCs w:val="22"/>
        </w:rPr>
        <w:t>interest in the recent literature on</w:t>
      </w:r>
      <w:r w:rsidRPr="090C4359" w:rsidR="00D535A6">
        <w:rPr>
          <w:rFonts w:asciiTheme="minorHAnsi" w:hAnsiTheme="minorHAnsi" w:cstheme="minorBidi"/>
          <w:sz w:val="22"/>
          <w:szCs w:val="22"/>
        </w:rPr>
        <w:t xml:space="preserve"> Clinical Eth</w:t>
      </w:r>
      <w:r w:rsidRPr="090C4359" w:rsidR="001D1DDA">
        <w:rPr>
          <w:rFonts w:asciiTheme="minorHAnsi" w:hAnsiTheme="minorHAnsi" w:cstheme="minorBidi"/>
          <w:sz w:val="22"/>
          <w:szCs w:val="22"/>
        </w:rPr>
        <w:t>i</w:t>
      </w:r>
      <w:r w:rsidRPr="090C4359" w:rsidR="00D535A6">
        <w:rPr>
          <w:rFonts w:asciiTheme="minorHAnsi" w:hAnsiTheme="minorHAnsi" w:cstheme="minorBidi"/>
          <w:sz w:val="22"/>
          <w:szCs w:val="22"/>
        </w:rPr>
        <w:t>cs Committees</w:t>
      </w:r>
      <w:r w:rsidRPr="090C4359" w:rsidR="004605E2">
        <w:rPr>
          <w:rFonts w:asciiTheme="minorHAnsi" w:hAnsiTheme="minorHAnsi" w:cstheme="minorBidi"/>
          <w:sz w:val="22"/>
          <w:szCs w:val="22"/>
        </w:rPr>
        <w:t xml:space="preserve"> </w:t>
      </w:r>
      <w:r w:rsidRPr="090C4359" w:rsidR="00D535A6">
        <w:rPr>
          <w:rFonts w:asciiTheme="minorHAnsi" w:hAnsiTheme="minorHAnsi" w:cstheme="minorBidi"/>
          <w:sz w:val="22"/>
          <w:szCs w:val="22"/>
        </w:rPr>
        <w:t>(</w:t>
      </w:r>
      <w:r w:rsidRPr="090C4359" w:rsidR="00CD44A5">
        <w:rPr>
          <w:rFonts w:asciiTheme="minorHAnsi" w:hAnsiTheme="minorHAnsi" w:cstheme="minorBidi"/>
          <w:sz w:val="22"/>
          <w:szCs w:val="22"/>
        </w:rPr>
        <w:t>CEC</w:t>
      </w:r>
      <w:r w:rsidRPr="090C4359" w:rsidR="00D535A6">
        <w:rPr>
          <w:rFonts w:asciiTheme="minorHAnsi" w:hAnsiTheme="minorHAnsi" w:cstheme="minorBidi"/>
          <w:sz w:val="22"/>
          <w:szCs w:val="22"/>
        </w:rPr>
        <w:t>s)</w:t>
      </w:r>
      <w:r w:rsidRPr="090C4359" w:rsidR="00CD44A5">
        <w:rPr>
          <w:rFonts w:asciiTheme="minorHAnsi" w:hAnsiTheme="minorHAnsi" w:cstheme="minorBidi"/>
          <w:sz w:val="22"/>
          <w:szCs w:val="22"/>
        </w:rPr>
        <w:t xml:space="preserve"> as an effective mechanism </w:t>
      </w:r>
      <w:r w:rsidRPr="090C4359" w:rsidR="00F055AF">
        <w:rPr>
          <w:rFonts w:asciiTheme="minorHAnsi" w:hAnsiTheme="minorHAnsi" w:cstheme="minorBidi"/>
          <w:sz w:val="22"/>
          <w:szCs w:val="22"/>
        </w:rPr>
        <w:t>for dispute resolution</w:t>
      </w:r>
      <w:r w:rsidRPr="090C4359" w:rsidR="00D535A6">
        <w:rPr>
          <w:rFonts w:asciiTheme="minorHAnsi" w:hAnsiTheme="minorHAnsi" w:cstheme="minorBidi"/>
          <w:sz w:val="22"/>
          <w:szCs w:val="22"/>
        </w:rPr>
        <w:t>.</w:t>
      </w:r>
      <w:r w:rsidRPr="090C4359" w:rsidR="00F055AF">
        <w:rPr>
          <w:rStyle w:val="FootnoteReference"/>
          <w:rFonts w:asciiTheme="minorHAnsi" w:hAnsiTheme="minorHAnsi" w:cstheme="minorBidi"/>
          <w:sz w:val="22"/>
          <w:szCs w:val="22"/>
        </w:rPr>
        <w:footnoteReference w:id="287"/>
      </w:r>
      <w:r w:rsidRPr="090C4359" w:rsidR="000037C7">
        <w:rPr>
          <w:rFonts w:asciiTheme="minorHAnsi" w:hAnsiTheme="minorHAnsi" w:cstheme="minorBidi"/>
          <w:sz w:val="22"/>
          <w:szCs w:val="22"/>
        </w:rPr>
        <w:t xml:space="preserve"> Wallis </w:t>
      </w:r>
      <w:r w:rsidRPr="090C4359" w:rsidR="00181798">
        <w:rPr>
          <w:rFonts w:asciiTheme="minorHAnsi" w:hAnsiTheme="minorHAnsi" w:cstheme="minorBidi"/>
          <w:sz w:val="22"/>
          <w:szCs w:val="22"/>
        </w:rPr>
        <w:t xml:space="preserve">claims </w:t>
      </w:r>
      <w:r w:rsidRPr="090C4359" w:rsidR="00AB7BAC">
        <w:rPr>
          <w:rFonts w:asciiTheme="minorHAnsi" w:hAnsiTheme="minorHAnsi" w:cstheme="minorBidi"/>
          <w:sz w:val="22"/>
          <w:szCs w:val="22"/>
        </w:rPr>
        <w:t xml:space="preserve">CECs </w:t>
      </w:r>
      <w:r w:rsidRPr="090C4359" w:rsidR="000037C7">
        <w:rPr>
          <w:rFonts w:asciiTheme="minorHAnsi" w:hAnsiTheme="minorHAnsi" w:cstheme="minorBidi"/>
          <w:sz w:val="22"/>
          <w:szCs w:val="22"/>
        </w:rPr>
        <w:t xml:space="preserve">can be useful </w:t>
      </w:r>
      <w:r w:rsidRPr="090C4359" w:rsidR="00AB7BAC">
        <w:rPr>
          <w:rFonts w:asciiTheme="minorHAnsi" w:hAnsiTheme="minorHAnsi" w:cstheme="minorBidi"/>
          <w:sz w:val="22"/>
          <w:szCs w:val="22"/>
        </w:rPr>
        <w:t>‘</w:t>
      </w:r>
      <w:r w:rsidRPr="090C4359" w:rsidR="000037C7">
        <w:rPr>
          <w:rFonts w:asciiTheme="minorHAnsi" w:hAnsiTheme="minorHAnsi" w:cstheme="minorBidi"/>
          <w:sz w:val="22"/>
          <w:szCs w:val="22"/>
        </w:rPr>
        <w:t>in shining a new light on the problem</w:t>
      </w:r>
      <w:r w:rsidRPr="090C4359" w:rsidR="00535D4F">
        <w:rPr>
          <w:rFonts w:asciiTheme="minorHAnsi" w:hAnsiTheme="minorHAnsi" w:cstheme="minorBidi"/>
          <w:sz w:val="22"/>
          <w:szCs w:val="22"/>
        </w:rPr>
        <w:t>’ revealing ‘</w:t>
      </w:r>
      <w:r w:rsidRPr="090C4359" w:rsidR="000037C7">
        <w:rPr>
          <w:rFonts w:asciiTheme="minorHAnsi" w:hAnsiTheme="minorHAnsi" w:cstheme="minorBidi"/>
          <w:sz w:val="22"/>
          <w:szCs w:val="22"/>
        </w:rPr>
        <w:t>issues of the care and treatment that have been missed by simply being up too close to the problem for too long’.</w:t>
      </w:r>
      <w:r w:rsidRPr="090C4359" w:rsidR="000037C7">
        <w:rPr>
          <w:rStyle w:val="FootnoteReference"/>
          <w:rFonts w:asciiTheme="minorHAnsi" w:hAnsiTheme="minorHAnsi" w:cstheme="minorBidi"/>
          <w:sz w:val="22"/>
          <w:szCs w:val="22"/>
        </w:rPr>
        <w:footnoteReference w:id="288"/>
      </w:r>
      <w:r w:rsidRPr="090C4359" w:rsidR="009955F2">
        <w:rPr>
          <w:rFonts w:asciiTheme="minorHAnsi" w:hAnsiTheme="minorHAnsi" w:cstheme="minorBidi"/>
          <w:sz w:val="22"/>
          <w:szCs w:val="22"/>
        </w:rPr>
        <w:t xml:space="preserve"> </w:t>
      </w:r>
      <w:r w:rsidRPr="090C4359" w:rsidR="001D1DDA">
        <w:rPr>
          <w:rFonts w:asciiTheme="minorHAnsi" w:hAnsiTheme="minorHAnsi" w:cstheme="minorBidi"/>
          <w:sz w:val="22"/>
          <w:szCs w:val="22"/>
        </w:rPr>
        <w:t xml:space="preserve">Intended </w:t>
      </w:r>
      <w:r w:rsidRPr="090C4359" w:rsidR="00BC7E3E">
        <w:rPr>
          <w:rFonts w:asciiTheme="minorHAnsi" w:hAnsiTheme="minorHAnsi" w:cstheme="minorBidi"/>
          <w:sz w:val="22"/>
          <w:szCs w:val="22"/>
        </w:rPr>
        <w:t xml:space="preserve">as a </w:t>
      </w:r>
      <w:r w:rsidRPr="090C4359" w:rsidR="000C2423">
        <w:rPr>
          <w:rFonts w:asciiTheme="minorHAnsi" w:hAnsiTheme="minorHAnsi" w:cstheme="minorBidi"/>
          <w:sz w:val="22"/>
          <w:szCs w:val="22"/>
        </w:rPr>
        <w:t>way of bring</w:t>
      </w:r>
      <w:r w:rsidRPr="090C4359" w:rsidR="00CF4C50">
        <w:rPr>
          <w:rFonts w:asciiTheme="minorHAnsi" w:hAnsiTheme="minorHAnsi" w:cstheme="minorBidi"/>
          <w:sz w:val="22"/>
          <w:szCs w:val="22"/>
        </w:rPr>
        <w:t>ing</w:t>
      </w:r>
      <w:r w:rsidRPr="090C4359" w:rsidR="000C2423">
        <w:rPr>
          <w:rFonts w:asciiTheme="minorHAnsi" w:hAnsiTheme="minorHAnsi" w:cstheme="minorBidi"/>
          <w:sz w:val="22"/>
          <w:szCs w:val="22"/>
        </w:rPr>
        <w:t xml:space="preserve"> a</w:t>
      </w:r>
      <w:r w:rsidRPr="090C4359" w:rsidR="00526BCC">
        <w:rPr>
          <w:rFonts w:asciiTheme="minorHAnsi" w:hAnsiTheme="minorHAnsi" w:cstheme="minorBidi"/>
          <w:sz w:val="22"/>
          <w:szCs w:val="22"/>
        </w:rPr>
        <w:t xml:space="preserve"> diverse</w:t>
      </w:r>
      <w:r w:rsidRPr="090C4359" w:rsidR="00CF4C50">
        <w:rPr>
          <w:rFonts w:asciiTheme="minorHAnsi" w:hAnsiTheme="minorHAnsi" w:cstheme="minorBidi"/>
          <w:sz w:val="22"/>
          <w:szCs w:val="22"/>
        </w:rPr>
        <w:t xml:space="preserve"> range of people</w:t>
      </w:r>
      <w:r w:rsidRPr="090C4359" w:rsidR="00526BCC">
        <w:rPr>
          <w:rFonts w:asciiTheme="minorHAnsi" w:hAnsiTheme="minorHAnsi" w:cstheme="minorBidi"/>
          <w:sz w:val="22"/>
          <w:szCs w:val="22"/>
        </w:rPr>
        <w:t xml:space="preserve"> and experience</w:t>
      </w:r>
      <w:r w:rsidRPr="090C4359" w:rsidR="00CF4C50">
        <w:rPr>
          <w:rFonts w:asciiTheme="minorHAnsi" w:hAnsiTheme="minorHAnsi" w:cstheme="minorBidi"/>
          <w:sz w:val="22"/>
          <w:szCs w:val="22"/>
        </w:rPr>
        <w:t xml:space="preserve"> </w:t>
      </w:r>
      <w:r w:rsidRPr="090C4359" w:rsidR="000C2423">
        <w:rPr>
          <w:rFonts w:asciiTheme="minorHAnsi" w:hAnsiTheme="minorHAnsi" w:cstheme="minorBidi"/>
          <w:sz w:val="22"/>
          <w:szCs w:val="22"/>
        </w:rPr>
        <w:t>together</w:t>
      </w:r>
      <w:r w:rsidRPr="090C4359" w:rsidR="00526BCC">
        <w:rPr>
          <w:rFonts w:asciiTheme="minorHAnsi" w:hAnsiTheme="minorHAnsi" w:cstheme="minorBidi"/>
          <w:sz w:val="22"/>
          <w:szCs w:val="22"/>
        </w:rPr>
        <w:t xml:space="preserve"> </w:t>
      </w:r>
      <w:r w:rsidRPr="090C4359" w:rsidR="000C2423">
        <w:rPr>
          <w:rFonts w:asciiTheme="minorHAnsi" w:hAnsiTheme="minorHAnsi" w:cstheme="minorBidi"/>
          <w:sz w:val="22"/>
          <w:szCs w:val="22"/>
        </w:rPr>
        <w:t xml:space="preserve">to consider the ethical as well as </w:t>
      </w:r>
      <w:r w:rsidRPr="090C4359" w:rsidR="00CF4C50">
        <w:rPr>
          <w:rFonts w:asciiTheme="minorHAnsi" w:hAnsiTheme="minorHAnsi" w:cstheme="minorBidi"/>
          <w:sz w:val="22"/>
          <w:szCs w:val="22"/>
        </w:rPr>
        <w:t>medical aspects of a particular decision,</w:t>
      </w:r>
      <w:r w:rsidRPr="090C4359" w:rsidR="00461F5F">
        <w:rPr>
          <w:rFonts w:asciiTheme="minorHAnsi" w:hAnsiTheme="minorHAnsi" w:cstheme="minorBidi"/>
          <w:sz w:val="22"/>
          <w:szCs w:val="22"/>
        </w:rPr>
        <w:t xml:space="preserve"> </w:t>
      </w:r>
      <w:r w:rsidRPr="090C4359" w:rsidR="009070F2">
        <w:rPr>
          <w:rFonts w:asciiTheme="minorHAnsi" w:hAnsiTheme="minorHAnsi" w:cstheme="minorBidi"/>
          <w:sz w:val="22"/>
          <w:szCs w:val="22"/>
        </w:rPr>
        <w:t>CECs</w:t>
      </w:r>
      <w:r w:rsidRPr="090C4359" w:rsidR="00461F5F">
        <w:rPr>
          <w:rFonts w:asciiTheme="minorHAnsi" w:hAnsiTheme="minorHAnsi" w:cstheme="minorBidi"/>
          <w:sz w:val="22"/>
          <w:szCs w:val="22"/>
        </w:rPr>
        <w:t xml:space="preserve"> can be</w:t>
      </w:r>
      <w:r w:rsidRPr="090C4359" w:rsidR="003160CB">
        <w:rPr>
          <w:rFonts w:asciiTheme="minorHAnsi" w:hAnsiTheme="minorHAnsi" w:cstheme="minorBidi"/>
          <w:sz w:val="22"/>
          <w:szCs w:val="22"/>
        </w:rPr>
        <w:t xml:space="preserve"> especially</w:t>
      </w:r>
      <w:r w:rsidRPr="090C4359" w:rsidR="00461F5F">
        <w:rPr>
          <w:rFonts w:asciiTheme="minorHAnsi" w:hAnsiTheme="minorHAnsi" w:cstheme="minorBidi"/>
          <w:sz w:val="22"/>
          <w:szCs w:val="22"/>
        </w:rPr>
        <w:t xml:space="preserve"> useful where parents </w:t>
      </w:r>
      <w:r w:rsidRPr="090C4359" w:rsidR="00405939">
        <w:rPr>
          <w:rFonts w:asciiTheme="minorHAnsi" w:hAnsiTheme="minorHAnsi" w:cstheme="minorBidi"/>
          <w:sz w:val="22"/>
          <w:szCs w:val="22"/>
        </w:rPr>
        <w:t>are</w:t>
      </w:r>
      <w:r w:rsidRPr="090C4359" w:rsidR="001A5A33">
        <w:rPr>
          <w:rFonts w:asciiTheme="minorHAnsi" w:hAnsiTheme="minorHAnsi" w:cstheme="minorBidi"/>
          <w:sz w:val="22"/>
          <w:szCs w:val="22"/>
        </w:rPr>
        <w:t xml:space="preserve"> struggling with </w:t>
      </w:r>
      <w:r w:rsidRPr="090C4359" w:rsidR="00924C87">
        <w:rPr>
          <w:rFonts w:asciiTheme="minorHAnsi" w:hAnsiTheme="minorHAnsi" w:cstheme="minorBidi"/>
          <w:sz w:val="22"/>
          <w:szCs w:val="22"/>
        </w:rPr>
        <w:t>‘</w:t>
      </w:r>
      <w:r w:rsidRPr="090C4359" w:rsidR="00FC26B5">
        <w:rPr>
          <w:rFonts w:asciiTheme="minorHAnsi" w:hAnsiTheme="minorHAnsi" w:cstheme="minorBidi"/>
          <w:sz w:val="22"/>
          <w:szCs w:val="22"/>
        </w:rPr>
        <w:t>decisional conﬂict related to values clarity</w:t>
      </w:r>
      <w:r w:rsidRPr="090C4359" w:rsidR="00924C87">
        <w:rPr>
          <w:rFonts w:asciiTheme="minorHAnsi" w:hAnsiTheme="minorHAnsi" w:cstheme="minorBidi"/>
          <w:sz w:val="22"/>
          <w:szCs w:val="22"/>
        </w:rPr>
        <w:t>’</w:t>
      </w:r>
      <w:r w:rsidRPr="090C4359" w:rsidR="009856C1">
        <w:rPr>
          <w:rFonts w:asciiTheme="minorHAnsi" w:hAnsiTheme="minorHAnsi" w:cstheme="minorBidi"/>
          <w:sz w:val="22"/>
          <w:szCs w:val="22"/>
        </w:rPr>
        <w:t xml:space="preserve"> that</w:t>
      </w:r>
      <w:r w:rsidRPr="090C4359" w:rsidR="00924C87">
        <w:rPr>
          <w:rFonts w:asciiTheme="minorHAnsi" w:hAnsiTheme="minorHAnsi" w:cstheme="minorBidi"/>
          <w:sz w:val="22"/>
          <w:szCs w:val="22"/>
        </w:rPr>
        <w:t xml:space="preserve"> spills over into </w:t>
      </w:r>
      <w:r w:rsidRPr="090C4359" w:rsidR="00405939">
        <w:rPr>
          <w:rFonts w:asciiTheme="minorHAnsi" w:hAnsiTheme="minorHAnsi" w:cstheme="minorBidi"/>
          <w:sz w:val="22"/>
          <w:szCs w:val="22"/>
        </w:rPr>
        <w:t>disagreement</w:t>
      </w:r>
      <w:r w:rsidRPr="090C4359" w:rsidR="009C34DA">
        <w:rPr>
          <w:rFonts w:asciiTheme="minorHAnsi" w:hAnsiTheme="minorHAnsi" w:cstheme="minorBidi"/>
          <w:sz w:val="22"/>
          <w:szCs w:val="22"/>
        </w:rPr>
        <w:t>.</w:t>
      </w:r>
      <w:r w:rsidRPr="090C4359" w:rsidR="009C34DA">
        <w:rPr>
          <w:rStyle w:val="FootnoteReference"/>
          <w:rFonts w:asciiTheme="minorHAnsi" w:hAnsiTheme="minorHAnsi" w:cstheme="minorBidi"/>
          <w:sz w:val="22"/>
          <w:szCs w:val="22"/>
        </w:rPr>
        <w:footnoteReference w:id="289"/>
      </w:r>
      <w:r w:rsidRPr="090C4359" w:rsidR="00F06612">
        <w:rPr>
          <w:rFonts w:asciiTheme="minorHAnsi" w:hAnsiTheme="minorHAnsi" w:cstheme="minorBidi"/>
          <w:sz w:val="22"/>
          <w:szCs w:val="22"/>
        </w:rPr>
        <w:t xml:space="preserve"> </w:t>
      </w:r>
      <w:r w:rsidRPr="090C4359" w:rsidR="00A955CF">
        <w:rPr>
          <w:rFonts w:asciiTheme="minorHAnsi" w:hAnsiTheme="minorHAnsi" w:cstheme="minorBidi"/>
          <w:sz w:val="22"/>
          <w:szCs w:val="22"/>
        </w:rPr>
        <w:t xml:space="preserve"> Auckland and Goold find committee deliberation can avoid excessive influence of one set of values</w:t>
      </w:r>
      <w:r w:rsidRPr="090C4359" w:rsidR="000D1097">
        <w:rPr>
          <w:rFonts w:asciiTheme="minorHAnsi" w:hAnsiTheme="minorHAnsi" w:cstheme="minorBidi"/>
          <w:sz w:val="22"/>
          <w:szCs w:val="22"/>
        </w:rPr>
        <w:t xml:space="preserve"> and if specific value-commitment</w:t>
      </w:r>
      <w:r w:rsidRPr="090C4359" w:rsidR="000D1097">
        <w:rPr>
          <w:rFonts w:asciiTheme="minorHAnsi" w:hAnsiTheme="minorHAnsi" w:cstheme="minorBidi"/>
          <w:i/>
          <w:iCs/>
          <w:sz w:val="22"/>
          <w:szCs w:val="22"/>
        </w:rPr>
        <w:t xml:space="preserve"> is</w:t>
      </w:r>
      <w:r w:rsidRPr="090C4359" w:rsidR="000D1097">
        <w:rPr>
          <w:rFonts w:asciiTheme="minorHAnsi" w:hAnsiTheme="minorHAnsi" w:cstheme="minorBidi"/>
          <w:sz w:val="22"/>
          <w:szCs w:val="22"/>
        </w:rPr>
        <w:t xml:space="preserve"> involved, these values can be openly </w:t>
      </w:r>
      <w:r w:rsidRPr="090C4359" w:rsidR="00A955CF">
        <w:rPr>
          <w:rFonts w:asciiTheme="minorHAnsi" w:hAnsiTheme="minorHAnsi" w:cstheme="minorBidi"/>
          <w:sz w:val="22"/>
          <w:szCs w:val="22"/>
        </w:rPr>
        <w:t>scrutinised by committee members</w:t>
      </w:r>
      <w:r w:rsidRPr="090C4359" w:rsidR="00377BE9">
        <w:rPr>
          <w:rFonts w:asciiTheme="minorHAnsi" w:hAnsiTheme="minorHAnsi" w:cstheme="minorBidi"/>
          <w:sz w:val="22"/>
          <w:szCs w:val="22"/>
        </w:rPr>
        <w:t>.</w:t>
      </w:r>
      <w:r w:rsidRPr="090C4359" w:rsidR="00A955CF">
        <w:rPr>
          <w:rStyle w:val="FootnoteReference"/>
          <w:rFonts w:asciiTheme="minorHAnsi" w:hAnsiTheme="minorHAnsi" w:cstheme="minorBidi"/>
          <w:sz w:val="22"/>
          <w:szCs w:val="22"/>
        </w:rPr>
        <w:footnoteReference w:id="290"/>
      </w:r>
      <w:r w:rsidRPr="090C4359" w:rsidR="00831BE0">
        <w:rPr>
          <w:rFonts w:asciiTheme="minorHAnsi" w:hAnsiTheme="minorHAnsi" w:cstheme="minorBidi"/>
          <w:sz w:val="22"/>
          <w:szCs w:val="22"/>
        </w:rPr>
        <w:t xml:space="preserve"> </w:t>
      </w:r>
      <w:r w:rsidRPr="090C4359" w:rsidR="00480180">
        <w:rPr>
          <w:rFonts w:asciiTheme="minorHAnsi" w:hAnsiTheme="minorHAnsi" w:cstheme="minorBidi"/>
          <w:sz w:val="22"/>
          <w:szCs w:val="22"/>
        </w:rPr>
        <w:t xml:space="preserve">Huxtable </w:t>
      </w:r>
      <w:r w:rsidRPr="090C4359" w:rsidR="00450B8F">
        <w:rPr>
          <w:rFonts w:asciiTheme="minorHAnsi" w:hAnsiTheme="minorHAnsi" w:cstheme="minorBidi"/>
          <w:sz w:val="22"/>
          <w:szCs w:val="22"/>
        </w:rPr>
        <w:t>suggests that specialist ethics services</w:t>
      </w:r>
      <w:r w:rsidRPr="090C4359" w:rsidR="00DB09A6">
        <w:rPr>
          <w:rFonts w:asciiTheme="minorHAnsi" w:hAnsiTheme="minorHAnsi" w:cstheme="minorBidi"/>
          <w:sz w:val="22"/>
          <w:szCs w:val="22"/>
        </w:rPr>
        <w:t xml:space="preserve"> focusing on particular clinical areas or patient populations</w:t>
      </w:r>
      <w:r w:rsidRPr="090C4359" w:rsidR="001F3C89">
        <w:rPr>
          <w:rFonts w:asciiTheme="minorHAnsi" w:hAnsiTheme="minorHAnsi" w:cstheme="minorBidi"/>
          <w:sz w:val="22"/>
          <w:szCs w:val="22"/>
        </w:rPr>
        <w:t xml:space="preserve"> have promise</w:t>
      </w:r>
      <w:r w:rsidRPr="090C4359" w:rsidR="00450B8F">
        <w:rPr>
          <w:rFonts w:asciiTheme="minorHAnsi" w:hAnsiTheme="minorHAnsi" w:cstheme="minorBidi"/>
          <w:sz w:val="22"/>
          <w:szCs w:val="22"/>
        </w:rPr>
        <w:t xml:space="preserve">, </w:t>
      </w:r>
      <w:r w:rsidRPr="090C4359" w:rsidR="001F3C89">
        <w:rPr>
          <w:rFonts w:asciiTheme="minorHAnsi" w:hAnsiTheme="minorHAnsi" w:cstheme="minorBidi"/>
          <w:sz w:val="22"/>
          <w:szCs w:val="22"/>
        </w:rPr>
        <w:t xml:space="preserve">with their benefits including </w:t>
      </w:r>
      <w:r w:rsidRPr="090C4359" w:rsidR="00CD5168">
        <w:rPr>
          <w:rFonts w:asciiTheme="minorHAnsi" w:hAnsiTheme="minorHAnsi" w:cstheme="minorBidi"/>
          <w:sz w:val="22"/>
          <w:szCs w:val="22"/>
        </w:rPr>
        <w:t>the provision of practical advice, being supportive to both professionals and parents,</w:t>
      </w:r>
      <w:r w:rsidRPr="090C4359" w:rsidR="00C255E3">
        <w:rPr>
          <w:rFonts w:asciiTheme="minorHAnsi" w:hAnsiTheme="minorHAnsi" w:cstheme="minorBidi"/>
          <w:sz w:val="22"/>
          <w:szCs w:val="22"/>
        </w:rPr>
        <w:t xml:space="preserve"> expertise in ethical matters (amplified for specialist committe</w:t>
      </w:r>
      <w:r w:rsidRPr="090C4359" w:rsidR="004C6E09">
        <w:rPr>
          <w:rFonts w:asciiTheme="minorHAnsi" w:hAnsiTheme="minorHAnsi" w:cstheme="minorBidi"/>
          <w:sz w:val="22"/>
          <w:szCs w:val="22"/>
        </w:rPr>
        <w:t>e</w:t>
      </w:r>
      <w:r w:rsidRPr="090C4359" w:rsidR="00C255E3">
        <w:rPr>
          <w:rFonts w:asciiTheme="minorHAnsi" w:hAnsiTheme="minorHAnsi" w:cstheme="minorBidi"/>
          <w:sz w:val="22"/>
          <w:szCs w:val="22"/>
        </w:rPr>
        <w:t>s)</w:t>
      </w:r>
      <w:r w:rsidRPr="090C4359" w:rsidR="00491996">
        <w:rPr>
          <w:rFonts w:asciiTheme="minorHAnsi" w:hAnsiTheme="minorHAnsi" w:cstheme="minorBidi"/>
          <w:sz w:val="22"/>
          <w:szCs w:val="22"/>
        </w:rPr>
        <w:t>,</w:t>
      </w:r>
      <w:r w:rsidRPr="090C4359" w:rsidR="00C255E3">
        <w:rPr>
          <w:rFonts w:asciiTheme="minorHAnsi" w:hAnsiTheme="minorHAnsi" w:cstheme="minorBidi"/>
          <w:sz w:val="22"/>
          <w:szCs w:val="22"/>
        </w:rPr>
        <w:t xml:space="preserve"> and </w:t>
      </w:r>
      <w:r w:rsidRPr="090C4359" w:rsidR="00706C8D">
        <w:rPr>
          <w:rFonts w:asciiTheme="minorHAnsi" w:hAnsiTheme="minorHAnsi" w:cstheme="minorBidi"/>
          <w:sz w:val="22"/>
          <w:szCs w:val="22"/>
        </w:rPr>
        <w:t>are quicker, cheaper and less adversarial than the courts.</w:t>
      </w:r>
      <w:r w:rsidRPr="090C4359" w:rsidR="00706C8D">
        <w:rPr>
          <w:rStyle w:val="FootnoteReference"/>
          <w:rFonts w:asciiTheme="minorHAnsi" w:hAnsiTheme="minorHAnsi" w:cstheme="minorBidi"/>
          <w:sz w:val="22"/>
          <w:szCs w:val="22"/>
        </w:rPr>
        <w:footnoteReference w:id="291"/>
      </w:r>
      <w:r w:rsidRPr="090C4359" w:rsidR="00920CE8">
        <w:rPr>
          <w:rFonts w:asciiTheme="minorHAnsi" w:hAnsiTheme="minorHAnsi" w:cstheme="minorBidi"/>
          <w:sz w:val="22"/>
          <w:szCs w:val="22"/>
        </w:rPr>
        <w:t xml:space="preserve"> </w:t>
      </w:r>
    </w:p>
    <w:p w:rsidRPr="00BB6AD9" w:rsidR="00B01284" w:rsidP="00B01284" w:rsidRDefault="00B01284" w14:paraId="1488ED1F" w14:textId="77777777">
      <w:pPr>
        <w:pStyle w:val="Normal0"/>
        <w:ind w:left="720"/>
        <w:rPr>
          <w:rFonts w:ascii="Segoe UI" w:hAnsi="Segoe UI" w:cs="Segoe UI"/>
          <w:sz w:val="22"/>
          <w:szCs w:val="22"/>
        </w:rPr>
      </w:pPr>
    </w:p>
    <w:p w:rsidRPr="00831BE0" w:rsidR="009955F2" w:rsidP="004415C7" w:rsidRDefault="000D32E3" w14:paraId="1C007B15" w14:textId="0AC61926">
      <w:pPr>
        <w:pStyle w:val="ListParagraph"/>
        <w:numPr>
          <w:ilvl w:val="0"/>
          <w:numId w:val="2"/>
        </w:numPr>
        <w:jc w:val="both"/>
        <w:rPr>
          <w:rFonts w:cstheme="minorHAnsi"/>
        </w:rPr>
      </w:pPr>
      <w:r w:rsidRPr="090C4359">
        <w:t>Yet</w:t>
      </w:r>
      <w:r w:rsidRPr="090C4359" w:rsidR="004E435A">
        <w:t xml:space="preserve"> CECs are not without problems.</w:t>
      </w:r>
      <w:r w:rsidRPr="090C4359">
        <w:t xml:space="preserve"> </w:t>
      </w:r>
      <w:r w:rsidRPr="090C4359" w:rsidR="00A037DE">
        <w:t>A</w:t>
      </w:r>
      <w:r w:rsidRPr="090C4359" w:rsidR="00CF4C50">
        <w:t>s</w:t>
      </w:r>
      <w:r w:rsidRPr="090C4359" w:rsidR="005C18CA">
        <w:t xml:space="preserve"> </w:t>
      </w:r>
      <w:r w:rsidRPr="090C4359" w:rsidR="009955F2">
        <w:t>Jo</w:t>
      </w:r>
      <w:r w:rsidRPr="090C4359" w:rsidR="002644CB">
        <w:t>h</w:t>
      </w:r>
      <w:r w:rsidRPr="090C4359" w:rsidR="009955F2">
        <w:t>al</w:t>
      </w:r>
      <w:r w:rsidRPr="090C4359" w:rsidR="008620D9">
        <w:t xml:space="preserve"> et al’s study</w:t>
      </w:r>
      <w:r w:rsidRPr="090C4359" w:rsidR="00E3081A">
        <w:t xml:space="preserve"> n</w:t>
      </w:r>
      <w:r w:rsidRPr="090C4359" w:rsidR="004E435A">
        <w:t>o</w:t>
      </w:r>
      <w:r w:rsidRPr="090C4359" w:rsidR="00E3081A">
        <w:t>tes</w:t>
      </w:r>
      <w:r w:rsidRPr="090C4359" w:rsidR="004E435A">
        <w:t xml:space="preserve">, </w:t>
      </w:r>
      <w:r w:rsidRPr="090C4359" w:rsidR="00330F8C">
        <w:t>the</w:t>
      </w:r>
      <w:r w:rsidRPr="090C4359" w:rsidR="002951BF">
        <w:t>ir</w:t>
      </w:r>
      <w:r w:rsidRPr="090C4359" w:rsidR="00330F8C">
        <w:t xml:space="preserve"> remit,</w:t>
      </w:r>
      <w:r w:rsidRPr="090C4359" w:rsidR="002057F6">
        <w:t xml:space="preserve"> </w:t>
      </w:r>
      <w:r w:rsidRPr="090C4359" w:rsidR="00FE7F8A">
        <w:t xml:space="preserve"> the </w:t>
      </w:r>
      <w:r w:rsidRPr="090C4359" w:rsidR="00330F8C">
        <w:t>weight</w:t>
      </w:r>
      <w:r w:rsidRPr="090C4359" w:rsidR="002057F6">
        <w:t xml:space="preserve"> given to their advice</w:t>
      </w:r>
      <w:r w:rsidRPr="090C4359" w:rsidR="00CB4D30">
        <w:t>,</w:t>
      </w:r>
      <w:r w:rsidRPr="090C4359" w:rsidR="00330F8C">
        <w:t xml:space="preserve"> and</w:t>
      </w:r>
      <w:r w:rsidRPr="090C4359" w:rsidR="002057F6">
        <w:t xml:space="preserve"> overall</w:t>
      </w:r>
      <w:r w:rsidRPr="090C4359" w:rsidR="00330F8C">
        <w:t xml:space="preserve"> perce</w:t>
      </w:r>
      <w:r w:rsidRPr="090C4359" w:rsidR="002057F6">
        <w:t xml:space="preserve">ptions of </w:t>
      </w:r>
      <w:r w:rsidRPr="090C4359" w:rsidR="00FB5F24">
        <w:t>their utility in the decision-making process by stakeholders</w:t>
      </w:r>
      <w:r w:rsidRPr="090C4359" w:rsidR="000244E6">
        <w:t>,</w:t>
      </w:r>
      <w:r w:rsidRPr="090C4359" w:rsidR="00FB5F24">
        <w:t xml:space="preserve"> i</w:t>
      </w:r>
      <w:r w:rsidRPr="090C4359" w:rsidR="00F44833">
        <w:t>s</w:t>
      </w:r>
      <w:r w:rsidRPr="090C4359" w:rsidR="00FB5F24">
        <w:t xml:space="preserve"> unclear</w:t>
      </w:r>
      <w:r w:rsidRPr="090C4359" w:rsidR="00872701">
        <w:t>.</w:t>
      </w:r>
      <w:r w:rsidRPr="090C4359" w:rsidR="00872701">
        <w:rPr>
          <w:rStyle w:val="FootnoteReference"/>
        </w:rPr>
        <w:footnoteReference w:id="292"/>
      </w:r>
      <w:r w:rsidRPr="090C4359" w:rsidR="00494E28">
        <w:t xml:space="preserve"> </w:t>
      </w:r>
      <w:r w:rsidRPr="090C4359" w:rsidR="00811162">
        <w:t xml:space="preserve"> Lack of clear processes </w:t>
      </w:r>
      <w:r w:rsidRPr="090C4359" w:rsidR="001D03AA">
        <w:t>in determining</w:t>
      </w:r>
      <w:r w:rsidRPr="090C4359" w:rsidR="00811162">
        <w:t xml:space="preserve"> m</w:t>
      </w:r>
      <w:r w:rsidRPr="090C4359" w:rsidR="006225C6">
        <w:t>embershi</w:t>
      </w:r>
      <w:r w:rsidRPr="090C4359" w:rsidR="008B5529">
        <w:t>p and</w:t>
      </w:r>
      <w:r w:rsidRPr="090C4359" w:rsidR="005B05FB">
        <w:t xml:space="preserve"> </w:t>
      </w:r>
      <w:r w:rsidRPr="090C4359" w:rsidR="004859F0">
        <w:t>expertise</w:t>
      </w:r>
      <w:r w:rsidRPr="090C4359" w:rsidR="005B05FB">
        <w:t xml:space="preserve"> </w:t>
      </w:r>
      <w:r w:rsidRPr="090C4359" w:rsidR="006225C6">
        <w:t>of CECs</w:t>
      </w:r>
      <w:r w:rsidRPr="090C4359" w:rsidR="008B5529">
        <w:t>, along with the deliberative frameworks they use,</w:t>
      </w:r>
      <w:r w:rsidRPr="090C4359" w:rsidR="006225C6">
        <w:t xml:space="preserve"> ha</w:t>
      </w:r>
      <w:r w:rsidRPr="090C4359" w:rsidR="00F62A20">
        <w:t>ve</w:t>
      </w:r>
      <w:r w:rsidRPr="090C4359" w:rsidR="006225C6">
        <w:t xml:space="preserve"> been raised as a problem</w:t>
      </w:r>
      <w:r w:rsidRPr="090C4359" w:rsidR="00F44833">
        <w:t>,</w:t>
      </w:r>
      <w:r w:rsidRPr="090C4359" w:rsidR="006225C6">
        <w:t xml:space="preserve"> but Huxtable contends that a more spec</w:t>
      </w:r>
      <w:r w:rsidRPr="090C4359" w:rsidR="004859F0">
        <w:t>ialist focus w</w:t>
      </w:r>
      <w:r w:rsidRPr="090C4359" w:rsidR="00B15C2D">
        <w:t xml:space="preserve">ould lend itself to </w:t>
      </w:r>
      <w:r w:rsidRPr="090C4359" w:rsidR="004F0939">
        <w:t xml:space="preserve">greater </w:t>
      </w:r>
      <w:r w:rsidRPr="090C4359" w:rsidR="00B15C2D">
        <w:t>transparency.</w:t>
      </w:r>
      <w:r w:rsidRPr="090C4359" w:rsidR="00B15C2D">
        <w:rPr>
          <w:rStyle w:val="FootnoteReference"/>
        </w:rPr>
        <w:footnoteReference w:id="293"/>
      </w:r>
      <w:r w:rsidRPr="090C4359" w:rsidR="004859F0">
        <w:t xml:space="preserve"> </w:t>
      </w:r>
      <w:r w:rsidRPr="090C4359" w:rsidR="007615B6">
        <w:t>In Jesmont et al’s hospital study</w:t>
      </w:r>
      <w:r w:rsidRPr="090C4359" w:rsidR="00F53D16">
        <w:t xml:space="preserve"> the value of CEC’s was recognised, despite</w:t>
      </w:r>
      <w:r w:rsidRPr="090C4359" w:rsidR="00E81F18">
        <w:t xml:space="preserve"> an absence of CEC referrals during the 4</w:t>
      </w:r>
      <w:r w:rsidRPr="090C4359" w:rsidR="001644D4">
        <w:t>-</w:t>
      </w:r>
      <w:r w:rsidRPr="090C4359" w:rsidR="00E81F18">
        <w:t>week duration of the study</w:t>
      </w:r>
      <w:r w:rsidRPr="090C4359" w:rsidR="002D6809">
        <w:t xml:space="preserve">. </w:t>
      </w:r>
      <w:r w:rsidRPr="090C4359" w:rsidR="00251464">
        <w:t xml:space="preserve"> </w:t>
      </w:r>
      <w:r w:rsidRPr="090C4359" w:rsidR="002D6809">
        <w:t xml:space="preserve">However, </w:t>
      </w:r>
      <w:r w:rsidRPr="090C4359" w:rsidR="00373D93">
        <w:t>it also identified</w:t>
      </w:r>
      <w:r w:rsidRPr="090C4359" w:rsidR="007615B6">
        <w:t xml:space="preserve"> shortcomings</w:t>
      </w:r>
      <w:r w:rsidRPr="090C4359" w:rsidR="00373D93">
        <w:t xml:space="preserve"> </w:t>
      </w:r>
      <w:r w:rsidRPr="090C4359" w:rsidR="0060417C">
        <w:t>in</w:t>
      </w:r>
      <w:r w:rsidRPr="090C4359" w:rsidR="00373D93">
        <w:t xml:space="preserve"> the use of CECs</w:t>
      </w:r>
      <w:r w:rsidRPr="090C4359" w:rsidR="0060417C">
        <w:t xml:space="preserve"> that lay</w:t>
      </w:r>
      <w:r w:rsidRPr="090C4359" w:rsidR="007615B6">
        <w:t xml:space="preserve"> in</w:t>
      </w:r>
      <w:r w:rsidRPr="090C4359" w:rsidR="00373D93">
        <w:t xml:space="preserve"> the</w:t>
      </w:r>
      <w:r w:rsidRPr="090C4359" w:rsidR="00347B48">
        <w:t xml:space="preserve"> </w:t>
      </w:r>
      <w:r w:rsidRPr="090C4359" w:rsidR="007615B6">
        <w:t xml:space="preserve">difficulties </w:t>
      </w:r>
      <w:r w:rsidRPr="090C4359" w:rsidR="00347B48">
        <w:t xml:space="preserve">of </w:t>
      </w:r>
      <w:r w:rsidRPr="090C4359" w:rsidR="007615B6">
        <w:t>advice implementation, which largely fell to clinicians.</w:t>
      </w:r>
      <w:r w:rsidRPr="090C4359" w:rsidR="007615B6">
        <w:rPr>
          <w:rStyle w:val="FootnoteReference"/>
        </w:rPr>
        <w:footnoteReference w:id="294"/>
      </w:r>
      <w:r w:rsidRPr="090C4359" w:rsidR="007615B6">
        <w:t xml:space="preserve"> </w:t>
      </w:r>
      <w:r w:rsidRPr="090C4359" w:rsidR="004F0939">
        <w:t>E</w:t>
      </w:r>
      <w:r w:rsidRPr="090C4359" w:rsidR="00BD41FE">
        <w:t>xclusion of the family from the CEC</w:t>
      </w:r>
      <w:r w:rsidRPr="090C4359" w:rsidR="004F0939">
        <w:t xml:space="preserve"> is also a concern</w:t>
      </w:r>
      <w:r w:rsidRPr="090C4359" w:rsidR="00BD41FE">
        <w:t xml:space="preserve">. </w:t>
      </w:r>
      <w:r w:rsidRPr="090C4359" w:rsidR="00494E28">
        <w:t xml:space="preserve">In </w:t>
      </w:r>
      <w:r w:rsidRPr="090C4359" w:rsidR="00494E28">
        <w:rPr>
          <w:i/>
          <w:iCs/>
        </w:rPr>
        <w:t>Verden</w:t>
      </w:r>
      <w:r w:rsidRPr="090C4359" w:rsidR="00494E28">
        <w:t xml:space="preserve">, </w:t>
      </w:r>
      <w:r w:rsidRPr="090C4359" w:rsidR="00020F2C">
        <w:t>the</w:t>
      </w:r>
      <w:r w:rsidRPr="090C4359" w:rsidR="00E14AAF">
        <w:t xml:space="preserve"> CEC</w:t>
      </w:r>
      <w:r w:rsidRPr="090C4359" w:rsidR="00020F2C">
        <w:t xml:space="preserve"> appears to have</w:t>
      </w:r>
      <w:r w:rsidRPr="090C4359" w:rsidR="00E14AAF">
        <w:t xml:space="preserve"> met at a time when William was unsettled and when </w:t>
      </w:r>
      <w:r w:rsidRPr="090C4359" w:rsidR="00334086">
        <w:t xml:space="preserve">options for post-operative measures had not been fully explored. </w:t>
      </w:r>
      <w:r w:rsidRPr="090C4359" w:rsidR="00334086">
        <w:rPr>
          <w:rStyle w:val="FootnoteReference"/>
        </w:rPr>
        <w:footnoteReference w:id="295"/>
      </w:r>
      <w:r w:rsidRPr="090C4359" w:rsidR="00020F2C">
        <w:t xml:space="preserve"> The parents</w:t>
      </w:r>
      <w:r w:rsidRPr="090C4359" w:rsidR="00FB5F24">
        <w:t>’</w:t>
      </w:r>
      <w:r w:rsidRPr="090C4359" w:rsidR="00020F2C">
        <w:t xml:space="preserve"> views were excluded from consideration</w:t>
      </w:r>
      <w:r w:rsidRPr="090C4359" w:rsidR="00EA7C63">
        <w:t xml:space="preserve">; </w:t>
      </w:r>
      <w:r w:rsidRPr="090C4359" w:rsidR="008D75DC">
        <w:t xml:space="preserve">critical of this the </w:t>
      </w:r>
      <w:r w:rsidRPr="090C4359" w:rsidR="00EF5DBC">
        <w:t>Arbuthnot J</w:t>
      </w:r>
      <w:r w:rsidRPr="090C4359" w:rsidR="008D75DC">
        <w:t xml:space="preserve"> claimed</w:t>
      </w:r>
      <w:r w:rsidRPr="090C4359" w:rsidR="00B01284">
        <w:t xml:space="preserve"> </w:t>
      </w:r>
      <w:r w:rsidRPr="090C4359" w:rsidR="00066DEB">
        <w:t>it</w:t>
      </w:r>
      <w:r w:rsidRPr="090C4359" w:rsidR="00B01284">
        <w:t xml:space="preserve"> would have </w:t>
      </w:r>
      <w:r w:rsidRPr="090C4359" w:rsidR="00C66432">
        <w:t>been better to hold a two</w:t>
      </w:r>
      <w:r w:rsidRPr="090C4359" w:rsidR="00BD41FE">
        <w:t>-</w:t>
      </w:r>
      <w:r w:rsidRPr="090C4359" w:rsidR="00C66432">
        <w:t>part meeting, one for the parents and one for the doctors</w:t>
      </w:r>
      <w:r w:rsidRPr="090C4359" w:rsidR="00595244">
        <w:t xml:space="preserve"> and ‘[t]he</w:t>
      </w:r>
      <w:r w:rsidRPr="090C4359" w:rsidR="00B01284">
        <w:t xml:space="preserve"> Ethics Committee would then have a better idea of </w:t>
      </w:r>
      <w:r w:rsidRPr="090C4359" w:rsidR="00664821">
        <w:t>W</w:t>
      </w:r>
      <w:r w:rsidRPr="090C4359" w:rsidR="00B01284">
        <w:t>illiam’s quality of life, his wishes and the position of the family’.</w:t>
      </w:r>
      <w:r w:rsidRPr="090C4359" w:rsidR="00664821">
        <w:rPr>
          <w:rStyle w:val="FootnoteReference"/>
        </w:rPr>
        <w:footnoteReference w:id="296"/>
      </w:r>
      <w:r w:rsidRPr="00763E94" w:rsidR="00B01284">
        <w:t xml:space="preserve"> </w:t>
      </w:r>
    </w:p>
    <w:p w:rsidRPr="00831BE0" w:rsidR="000943D2" w:rsidP="008620D9" w:rsidRDefault="000943D2" w14:paraId="0FC74F20" w14:textId="77777777">
      <w:pPr>
        <w:jc w:val="both"/>
        <w:rPr>
          <w:rFonts w:cstheme="minorHAnsi"/>
        </w:rPr>
      </w:pPr>
    </w:p>
    <w:p w:rsidRPr="00F104F5" w:rsidR="00340BF9" w:rsidP="004415C7" w:rsidRDefault="00E2530B" w14:paraId="4F85589C" w14:textId="2C30ACBD">
      <w:pPr>
        <w:pStyle w:val="ListParagraph"/>
        <w:numPr>
          <w:ilvl w:val="0"/>
          <w:numId w:val="2"/>
        </w:numPr>
        <w:jc w:val="both"/>
      </w:pPr>
      <w:r w:rsidRPr="090C4359">
        <w:t>In</w:t>
      </w:r>
      <w:r w:rsidRPr="090C4359" w:rsidR="002506D9">
        <w:t xml:space="preserve"> </w:t>
      </w:r>
      <w:r w:rsidRPr="090C4359" w:rsidR="00340BF9">
        <w:rPr>
          <w:i/>
          <w:iCs/>
        </w:rPr>
        <w:t>Battersbee</w:t>
      </w:r>
      <w:r w:rsidRPr="090C4359" w:rsidR="00FD368A">
        <w:rPr>
          <w:i/>
          <w:iCs/>
        </w:rPr>
        <w:t>,</w:t>
      </w:r>
      <w:r w:rsidRPr="090C4359" w:rsidR="002506D9">
        <w:rPr>
          <w:i/>
          <w:iCs/>
        </w:rPr>
        <w:t xml:space="preserve"> </w:t>
      </w:r>
      <w:r w:rsidRPr="090C4359" w:rsidR="00340BF9">
        <w:t>Archie’s case was</w:t>
      </w:r>
      <w:r w:rsidRPr="090C4359" w:rsidR="006C71AF">
        <w:t xml:space="preserve"> only looked at by a</w:t>
      </w:r>
      <w:r w:rsidRPr="090C4359">
        <w:t xml:space="preserve"> </w:t>
      </w:r>
      <w:r w:rsidRPr="090C4359" w:rsidR="00340BF9">
        <w:t>“rapid case review group,”</w:t>
      </w:r>
      <w:r w:rsidRPr="090C4359" w:rsidR="00F94B7A">
        <w:t xml:space="preserve"> rather than a full CEC</w:t>
      </w:r>
      <w:r w:rsidRPr="090C4359" w:rsidR="000675EA">
        <w:t xml:space="preserve"> </w:t>
      </w:r>
      <w:r w:rsidRPr="090C4359" w:rsidR="00211EB4">
        <w:t xml:space="preserve">and </w:t>
      </w:r>
      <w:r w:rsidRPr="090C4359" w:rsidR="00F94B7A">
        <w:t>again, absent</w:t>
      </w:r>
      <w:r w:rsidRPr="090C4359" w:rsidR="00211EB4">
        <w:t xml:space="preserve"> any parental involvement</w:t>
      </w:r>
      <w:r w:rsidRPr="090C4359" w:rsidR="00F94B7A">
        <w:t>.</w:t>
      </w:r>
      <w:r w:rsidRPr="090C4359" w:rsidR="00047444">
        <w:rPr>
          <w:rStyle w:val="FootnoteReference"/>
        </w:rPr>
        <w:footnoteReference w:id="297"/>
      </w:r>
      <w:r w:rsidRPr="090C4359">
        <w:t xml:space="preserve"> Sokol </w:t>
      </w:r>
      <w:r w:rsidRPr="090C4359" w:rsidR="00211EB4">
        <w:t>surmises</w:t>
      </w:r>
      <w:r w:rsidRPr="090C4359" w:rsidR="00F72246">
        <w:t xml:space="preserve"> that ‘[m]</w:t>
      </w:r>
      <w:r w:rsidRPr="090C4359" w:rsidR="00340BF9">
        <w:t>aybe a full ethics committee, well constituted and considering the views and values of the parents, would have altered the course of events. Maybe a skilled clinical ethicist, rather than a more daunting institutional committee, could have gained the trust of the family early on, managed expectations, and avoided the subsequent conflict between the healthcare team and the parents’.</w:t>
      </w:r>
      <w:r w:rsidRPr="090C4359" w:rsidR="00340BF9">
        <w:rPr>
          <w:rStyle w:val="FootnoteReference"/>
        </w:rPr>
        <w:footnoteReference w:id="298"/>
      </w:r>
      <w:r w:rsidRPr="090C4359" w:rsidR="00267C05">
        <w:t xml:space="preserve"> </w:t>
      </w:r>
    </w:p>
    <w:p w:rsidRPr="00F104F5" w:rsidR="00A91F4A" w:rsidP="007615B6" w:rsidRDefault="00A91F4A" w14:paraId="31235443" w14:textId="77777777">
      <w:pPr>
        <w:rPr>
          <w:rFonts w:cstheme="minorHAnsi"/>
        </w:rPr>
      </w:pPr>
    </w:p>
    <w:p w:rsidRPr="00F104F5" w:rsidR="00FF127C" w:rsidP="004415C7" w:rsidRDefault="000675EA" w14:paraId="229626F4" w14:textId="00C5DA01">
      <w:pPr>
        <w:pStyle w:val="ListParagraph"/>
        <w:numPr>
          <w:ilvl w:val="0"/>
          <w:numId w:val="2"/>
        </w:numPr>
        <w:jc w:val="both"/>
        <w:rPr>
          <w:rFonts w:cstheme="minorHAnsi"/>
        </w:rPr>
      </w:pPr>
      <w:r w:rsidRPr="090C4359">
        <w:t xml:space="preserve">One suggestion explored in the literature is to give the views of CECs </w:t>
      </w:r>
      <w:r w:rsidRPr="090C4359" w:rsidR="00793037">
        <w:t>legally-binding authority</w:t>
      </w:r>
      <w:r w:rsidRPr="090C4359" w:rsidR="00E3014F">
        <w:t>, so they could make decisions in the place of the courts</w:t>
      </w:r>
      <w:r w:rsidRPr="090C4359">
        <w:t>.</w:t>
      </w:r>
      <w:r w:rsidRPr="090C4359" w:rsidR="001A301C">
        <w:t xml:space="preserve"> This </w:t>
      </w:r>
      <w:r w:rsidRPr="090C4359" w:rsidR="005E057F">
        <w:t xml:space="preserve">idea </w:t>
      </w:r>
      <w:r w:rsidRPr="090C4359" w:rsidR="001A301C">
        <w:t>is rejected by Wallis</w:t>
      </w:r>
      <w:r w:rsidRPr="090C4359" w:rsidR="001E20C1">
        <w:t>, claiming</w:t>
      </w:r>
      <w:r w:rsidRPr="090C4359" w:rsidR="004F2F05">
        <w:t xml:space="preserve"> </w:t>
      </w:r>
      <w:r w:rsidRPr="090C4359" w:rsidR="003E3568">
        <w:t xml:space="preserve">‘(…) </w:t>
      </w:r>
      <w:r w:rsidRPr="090C4359" w:rsidR="001A301C">
        <w:t>ethics committee</w:t>
      </w:r>
      <w:r w:rsidRPr="090C4359" w:rsidR="00C24035">
        <w:t>s</w:t>
      </w:r>
      <w:r w:rsidRPr="090C4359" w:rsidR="001A301C">
        <w:t xml:space="preserve"> will not make</w:t>
      </w:r>
      <w:r w:rsidRPr="090C4359" w:rsidR="00982099">
        <w:t xml:space="preserve"> </w:t>
      </w:r>
      <w:r w:rsidRPr="090C4359" w:rsidR="001A301C">
        <w:t>a decision. That is not their role. They thrive on the various ways that a problem can be viewed.’</w:t>
      </w:r>
      <w:r w:rsidRPr="090C4359" w:rsidR="001A301C">
        <w:rPr>
          <w:rStyle w:val="FootnoteReference"/>
        </w:rPr>
        <w:footnoteReference w:id="299"/>
      </w:r>
      <w:r w:rsidRPr="090C4359" w:rsidR="001A301C">
        <w:t xml:space="preserve"> </w:t>
      </w:r>
      <w:r w:rsidRPr="090C4359" w:rsidR="00CA4C12">
        <w:t>Auckland and Goold</w:t>
      </w:r>
      <w:r w:rsidRPr="090C4359" w:rsidR="001A301C">
        <w:t xml:space="preserve">, however are </w:t>
      </w:r>
      <w:r w:rsidRPr="090C4359" w:rsidR="007278CE">
        <w:t xml:space="preserve">more open to the </w:t>
      </w:r>
      <w:r w:rsidRPr="090C4359" w:rsidR="005E057F">
        <w:t>proposal</w:t>
      </w:r>
      <w:r w:rsidRPr="090C4359" w:rsidR="0048425D">
        <w:t>, looking to models in Chile, Argentina and Israel where CECs can make</w:t>
      </w:r>
      <w:r w:rsidRPr="090C4359" w:rsidR="00A04722">
        <w:t xml:space="preserve"> binding</w:t>
      </w:r>
      <w:r w:rsidRPr="090C4359" w:rsidR="0048425D">
        <w:t xml:space="preserve"> best</w:t>
      </w:r>
      <w:r w:rsidRPr="090C4359" w:rsidR="004024E8">
        <w:t>-</w:t>
      </w:r>
      <w:r w:rsidRPr="090C4359" w:rsidR="0048425D">
        <w:t>interests decisions</w:t>
      </w:r>
      <w:r w:rsidRPr="090C4359" w:rsidR="002C0DCB">
        <w:t xml:space="preserve">. In </w:t>
      </w:r>
      <w:r w:rsidRPr="090C4359" w:rsidR="00786556">
        <w:t>Texas</w:t>
      </w:r>
      <w:r w:rsidRPr="090C4359" w:rsidR="002C0DCB">
        <w:t xml:space="preserve"> </w:t>
      </w:r>
      <w:r w:rsidRPr="090C4359" w:rsidR="009D2C27">
        <w:t>doctors who wish to refuse a treatment request can refer it to the CEC</w:t>
      </w:r>
      <w:r w:rsidRPr="090C4359" w:rsidR="009F1212">
        <w:t xml:space="preserve"> and if the committee deems treatment </w:t>
      </w:r>
      <w:r w:rsidRPr="090C4359" w:rsidR="00786556">
        <w:t xml:space="preserve">‘medically inappropriate’, the </w:t>
      </w:r>
      <w:r w:rsidRPr="090C4359" w:rsidR="009F1212">
        <w:t>clinic</w:t>
      </w:r>
      <w:r w:rsidRPr="090C4359" w:rsidR="002C0DCB">
        <w:t>i</w:t>
      </w:r>
      <w:r w:rsidRPr="090C4359" w:rsidR="009F1212">
        <w:t>ans</w:t>
      </w:r>
      <w:r w:rsidRPr="090C4359" w:rsidR="00786556">
        <w:t xml:space="preserve"> are legally permitted to withdraw or withhold treatment after 10 days, unless the family can ﬁnd another doctor who is willing to offer the treatment sought</w:t>
      </w:r>
      <w:r w:rsidRPr="090C4359" w:rsidR="009F1212">
        <w:t>.</w:t>
      </w:r>
      <w:r w:rsidRPr="090C4359" w:rsidR="0048425D">
        <w:rPr>
          <w:rStyle w:val="FootnoteReference"/>
        </w:rPr>
        <w:footnoteReference w:id="300"/>
      </w:r>
      <w:r w:rsidRPr="090C4359" w:rsidR="00CA4C12">
        <w:t xml:space="preserve"> </w:t>
      </w:r>
      <w:r w:rsidRPr="090C4359" w:rsidR="00FC052B">
        <w:t>Auckland and Goold</w:t>
      </w:r>
      <w:r w:rsidRPr="090C4359" w:rsidR="00FE6FC7">
        <w:t xml:space="preserve"> </w:t>
      </w:r>
      <w:r w:rsidRPr="090C4359" w:rsidR="007D3CA4">
        <w:t>recognise that</w:t>
      </w:r>
      <w:r w:rsidRPr="090C4359" w:rsidR="00783015">
        <w:t xml:space="preserve"> </w:t>
      </w:r>
      <w:r w:rsidRPr="090C4359" w:rsidR="008D4FCB">
        <w:t>CECs in England are</w:t>
      </w:r>
      <w:r w:rsidRPr="090C4359" w:rsidR="00783015">
        <w:t xml:space="preserve"> currently </w:t>
      </w:r>
      <w:r w:rsidRPr="090C4359" w:rsidR="008D4FCB">
        <w:t>tasked with</w:t>
      </w:r>
      <w:r w:rsidRPr="090C4359" w:rsidR="00783015">
        <w:t xml:space="preserve"> providing ethics advice to doctors, not</w:t>
      </w:r>
      <w:r w:rsidRPr="090C4359" w:rsidR="008D4FCB">
        <w:t xml:space="preserve"> </w:t>
      </w:r>
      <w:r w:rsidRPr="090C4359" w:rsidR="00C900CA">
        <w:t xml:space="preserve">mediating disputes between professionals and patients, </w:t>
      </w:r>
      <w:r w:rsidRPr="090C4359" w:rsidR="00783015">
        <w:t xml:space="preserve">so </w:t>
      </w:r>
      <w:r w:rsidRPr="090C4359" w:rsidR="00C900CA">
        <w:t xml:space="preserve">it would take a </w:t>
      </w:r>
      <w:r w:rsidRPr="090C4359" w:rsidR="00765F61">
        <w:t>significant reorientation and restructuring to fulfil such a role.</w:t>
      </w:r>
      <w:r w:rsidRPr="090C4359" w:rsidR="002917F1">
        <w:rPr>
          <w:rStyle w:val="FootnoteReference"/>
        </w:rPr>
        <w:footnoteReference w:id="301"/>
      </w:r>
      <w:r w:rsidRPr="090C4359" w:rsidR="00E30235">
        <w:t xml:space="preserve"> </w:t>
      </w:r>
      <w:r w:rsidRPr="090C4359" w:rsidR="00783015">
        <w:t>T</w:t>
      </w:r>
      <w:r w:rsidRPr="090C4359" w:rsidR="008A4D8A">
        <w:t xml:space="preserve">he power imbalance between clinician and patients may also be an obstacle to </w:t>
      </w:r>
      <w:r w:rsidRPr="090C4359" w:rsidR="00E30235">
        <w:t>persuading parents as to the neutrality of CECs</w:t>
      </w:r>
      <w:r w:rsidRPr="090C4359" w:rsidR="008A4D8A">
        <w:t>.</w:t>
      </w:r>
      <w:r w:rsidRPr="090C4359" w:rsidR="00A712C4">
        <w:t xml:space="preserve"> Additionally, the very benefits of the informality </w:t>
      </w:r>
      <w:r w:rsidRPr="090C4359" w:rsidR="00447B2B">
        <w:t>and diversity of CECs may act against them having legally-binding authority</w:t>
      </w:r>
      <w:r w:rsidRPr="090C4359" w:rsidR="00497639">
        <w:t>, given the lack of transparent procedural and evidential processes</w:t>
      </w:r>
      <w:r w:rsidRPr="090C4359" w:rsidR="00EC76E6">
        <w:t>, duty to provide a reason for the decision, public scrutiny</w:t>
      </w:r>
      <w:r w:rsidRPr="090C4359" w:rsidR="009E431A">
        <w:t>,</w:t>
      </w:r>
      <w:r w:rsidRPr="090C4359" w:rsidR="00EC76E6">
        <w:t xml:space="preserve"> and appeal opportunities that accompany the court process.</w:t>
      </w:r>
      <w:r w:rsidRPr="090C4359" w:rsidR="007169AE">
        <w:rPr>
          <w:rStyle w:val="FootnoteReference"/>
        </w:rPr>
        <w:footnoteReference w:id="302"/>
      </w:r>
      <w:r w:rsidRPr="090C4359" w:rsidR="00FC79D9">
        <w:t xml:space="preserve"> </w:t>
      </w:r>
      <w:r w:rsidRPr="090C4359" w:rsidR="00A371DE">
        <w:t>Auckland and Goold con</w:t>
      </w:r>
      <w:r w:rsidRPr="090C4359" w:rsidR="00FC79D9">
        <w:t>clude that ‘[i]</w:t>
      </w:r>
      <w:r w:rsidRPr="090C4359" w:rsidR="0076778F">
        <w:t>ndeed, it may be something of a paradox that in order to supplant courts, committees would need to introduce a degree of formality that would in turn undermine the ﬂexibility that makes them so effective at resolving disputes’</w:t>
      </w:r>
      <w:r w:rsidRPr="090C4359" w:rsidR="00535FED">
        <w:t>.</w:t>
      </w:r>
      <w:r w:rsidRPr="090C4359" w:rsidR="0076778F">
        <w:rPr>
          <w:rStyle w:val="FootnoteReference"/>
        </w:rPr>
        <w:footnoteReference w:id="303"/>
      </w:r>
    </w:p>
    <w:p w:rsidRPr="00982099" w:rsidR="00F104F5" w:rsidP="00F104F5" w:rsidRDefault="00F104F5" w14:paraId="48D6999C" w14:textId="77777777">
      <w:pPr>
        <w:pStyle w:val="ListParagraph"/>
        <w:ind w:left="502"/>
        <w:jc w:val="both"/>
        <w:rPr>
          <w:rFonts w:cstheme="minorHAnsi"/>
          <w:sz w:val="24"/>
          <w:szCs w:val="24"/>
        </w:rPr>
      </w:pPr>
    </w:p>
    <w:p w:rsidRPr="00982099" w:rsidR="00DD2F8E" w:rsidP="00F104F5" w:rsidRDefault="00DD2F8E" w14:paraId="7B3D806C" w14:textId="77777777">
      <w:pPr>
        <w:pStyle w:val="ListParagraph"/>
        <w:ind w:left="502"/>
        <w:jc w:val="both"/>
        <w:rPr>
          <w:rFonts w:cstheme="minorHAnsi"/>
          <w:sz w:val="24"/>
          <w:szCs w:val="24"/>
        </w:rPr>
      </w:pPr>
    </w:p>
    <w:p w:rsidR="0030500B" w:rsidP="0030500B" w:rsidRDefault="00DA038B" w14:paraId="41D15E01" w14:textId="77777777">
      <w:pPr>
        <w:jc w:val="both"/>
        <w:rPr>
          <w:i/>
          <w:iCs/>
          <w:color w:val="002060"/>
          <w:sz w:val="24"/>
          <w:szCs w:val="24"/>
        </w:rPr>
      </w:pPr>
      <w:r>
        <w:rPr>
          <w:i/>
          <w:iCs/>
          <w:color w:val="002060"/>
          <w:sz w:val="24"/>
          <w:szCs w:val="24"/>
        </w:rPr>
        <w:t>v</w:t>
      </w:r>
      <w:r w:rsidRPr="00FC29EC" w:rsidR="004C75F6">
        <w:rPr>
          <w:i/>
          <w:iCs/>
          <w:color w:val="002060"/>
          <w:sz w:val="24"/>
          <w:szCs w:val="24"/>
        </w:rPr>
        <w:t>) Mediation</w:t>
      </w:r>
    </w:p>
    <w:p w:rsidRPr="00F104F5" w:rsidR="00201899" w:rsidP="004415C7" w:rsidRDefault="00B5653F" w14:paraId="006BD112" w14:textId="4F6AB137">
      <w:pPr>
        <w:pStyle w:val="ListParagraph"/>
        <w:numPr>
          <w:ilvl w:val="0"/>
          <w:numId w:val="2"/>
        </w:numPr>
        <w:jc w:val="both"/>
        <w:rPr>
          <w:rFonts w:cstheme="minorHAnsi"/>
        </w:rPr>
      </w:pPr>
      <w:r w:rsidRPr="090C4359">
        <w:rPr>
          <w:sz w:val="24"/>
          <w:szCs w:val="24"/>
        </w:rPr>
        <w:t xml:space="preserve"> </w:t>
      </w:r>
      <w:r w:rsidRPr="090C4359" w:rsidR="00535FED">
        <w:t>A final suggest</w:t>
      </w:r>
      <w:r w:rsidRPr="090C4359" w:rsidR="003766AF">
        <w:t>ed resolution mechanism</w:t>
      </w:r>
      <w:r w:rsidRPr="090C4359" w:rsidR="00535FED">
        <w:t xml:space="preserve"> for moderate level disagreement is mediation. </w:t>
      </w:r>
      <w:r w:rsidRPr="090C4359" w:rsidR="0000368E">
        <w:t xml:space="preserve">There has been significant interest in both the academic literature and public debate about the value of mediation, not least driven by </w:t>
      </w:r>
      <w:r w:rsidRPr="090C4359" w:rsidR="00153B61">
        <w:t>advocacy for “Charlie</w:t>
      </w:r>
      <w:r w:rsidRPr="090C4359" w:rsidR="00D50CB9">
        <w:t>’</w:t>
      </w:r>
      <w:r w:rsidRPr="090C4359" w:rsidR="00153B61">
        <w:t xml:space="preserve">s Law” and the proposed parliamentary amendments seeking to </w:t>
      </w:r>
      <w:r w:rsidRPr="090C4359" w:rsidR="008942D0">
        <w:t>mandate mediation</w:t>
      </w:r>
      <w:r w:rsidRPr="090C4359" w:rsidR="00153B61">
        <w:t xml:space="preserve">. </w:t>
      </w:r>
    </w:p>
    <w:p w:rsidRPr="00F104F5" w:rsidR="00B31DC3" w:rsidP="00B31DC3" w:rsidRDefault="00B31DC3" w14:paraId="303BA20C" w14:textId="77777777">
      <w:pPr>
        <w:pStyle w:val="ListParagraph"/>
        <w:ind w:left="502"/>
        <w:jc w:val="both"/>
        <w:rPr>
          <w:rFonts w:cstheme="minorHAnsi"/>
        </w:rPr>
      </w:pPr>
    </w:p>
    <w:p w:rsidRPr="00F104F5" w:rsidR="002C0D5D" w:rsidP="004415C7" w:rsidRDefault="00153B61" w14:paraId="541C1493" w14:textId="1ECBB51D">
      <w:pPr>
        <w:pStyle w:val="ListParagraph"/>
        <w:numPr>
          <w:ilvl w:val="0"/>
          <w:numId w:val="2"/>
        </w:numPr>
        <w:jc w:val="both"/>
        <w:rPr>
          <w:rFonts w:cstheme="minorHAnsi"/>
        </w:rPr>
      </w:pPr>
      <w:r w:rsidRPr="090C4359">
        <w:t>B</w:t>
      </w:r>
      <w:r w:rsidRPr="090C4359" w:rsidR="00F6557B">
        <w:t xml:space="preserve">enbow </w:t>
      </w:r>
      <w:r w:rsidRPr="090C4359" w:rsidR="00C4682B">
        <w:t>argues that</w:t>
      </w:r>
      <w:r w:rsidRPr="090C4359" w:rsidR="00B5653F">
        <w:t xml:space="preserve"> the</w:t>
      </w:r>
      <w:r w:rsidRPr="090C4359" w:rsidR="00C4682B">
        <w:t xml:space="preserve"> </w:t>
      </w:r>
      <w:r w:rsidRPr="090C4359" w:rsidR="00C4682B">
        <w:rPr>
          <w:i/>
          <w:iCs/>
        </w:rPr>
        <w:t>Raqeeb</w:t>
      </w:r>
      <w:r w:rsidRPr="090C4359" w:rsidR="00C4682B">
        <w:t xml:space="preserve"> case ‘</w:t>
      </w:r>
      <w:r w:rsidRPr="090C4359" w:rsidR="00F876EE">
        <w:t>demonstrates the need for legal reform to e</w:t>
      </w:r>
      <w:r w:rsidRPr="090C4359" w:rsidR="00D17898">
        <w:t>n</w:t>
      </w:r>
      <w:r w:rsidRPr="090C4359" w:rsidR="00F876EE">
        <w:t>sure that mediation is offered where such disputes arise</w:t>
      </w:r>
      <w:r w:rsidRPr="090C4359" w:rsidR="00C4682B">
        <w:t>’.</w:t>
      </w:r>
      <w:r w:rsidRPr="090C4359" w:rsidR="00C4682B">
        <w:rPr>
          <w:rStyle w:val="FootnoteReference"/>
        </w:rPr>
        <w:footnoteReference w:id="304"/>
      </w:r>
      <w:r w:rsidRPr="090C4359" w:rsidR="00C40BC1">
        <w:t xml:space="preserve"> He </w:t>
      </w:r>
      <w:r w:rsidRPr="090C4359" w:rsidR="000B0B78">
        <w:t xml:space="preserve">feels that </w:t>
      </w:r>
      <w:r w:rsidRPr="090C4359" w:rsidR="008638F1">
        <w:t xml:space="preserve">mediation </w:t>
      </w:r>
      <w:r w:rsidRPr="090C4359" w:rsidR="00006D46">
        <w:t xml:space="preserve">could facilitate </w:t>
      </w:r>
      <w:r w:rsidRPr="090C4359" w:rsidR="00B5653F">
        <w:t xml:space="preserve">an </w:t>
      </w:r>
      <w:r w:rsidRPr="090C4359" w:rsidR="00006D46">
        <w:t xml:space="preserve">understanding between parties that could prevent otherwise </w:t>
      </w:r>
      <w:r w:rsidRPr="090C4359" w:rsidR="0076043A">
        <w:t>stressful and costly litigation</w:t>
      </w:r>
      <w:r w:rsidRPr="090C4359" w:rsidR="0030500B">
        <w:t>.</w:t>
      </w:r>
      <w:r w:rsidRPr="090C4359" w:rsidR="00541A32">
        <w:t xml:space="preserve"> </w:t>
      </w:r>
      <w:r w:rsidRPr="090C4359" w:rsidR="00921F47">
        <w:rPr>
          <w:rStyle w:val="FootnoteReference"/>
        </w:rPr>
        <w:footnoteReference w:id="305"/>
      </w:r>
      <w:r w:rsidRPr="090C4359" w:rsidR="00612108">
        <w:t xml:space="preserve"> </w:t>
      </w:r>
      <w:r w:rsidRPr="090C4359" w:rsidR="00E845CF">
        <w:t xml:space="preserve">Preisz </w:t>
      </w:r>
      <w:r w:rsidRPr="090C4359" w:rsidR="00E2232B">
        <w:t>e</w:t>
      </w:r>
      <w:r w:rsidRPr="090C4359" w:rsidR="00E845CF">
        <w:t xml:space="preserve">t al’s </w:t>
      </w:r>
      <w:r w:rsidRPr="090C4359" w:rsidR="009A6BF2">
        <w:t xml:space="preserve">work on the </w:t>
      </w:r>
      <w:r w:rsidRPr="090C4359" w:rsidR="00E845CF">
        <w:t xml:space="preserve">use of mediation in the Australian context </w:t>
      </w:r>
      <w:r w:rsidRPr="090C4359" w:rsidR="00AB5D4F">
        <w:t>suggests tha</w:t>
      </w:r>
      <w:r w:rsidRPr="090C4359" w:rsidR="00AD636C">
        <w:t xml:space="preserve">t it is most effective when used early on at the first signs of </w:t>
      </w:r>
      <w:r w:rsidRPr="090C4359" w:rsidR="004B5FCC">
        <w:t>disagreement, as ‘</w:t>
      </w:r>
      <w:r w:rsidRPr="090C4359" w:rsidR="00AD636C">
        <w:t>opposed to a “last-resort” strategy</w:t>
      </w:r>
      <w:r w:rsidRPr="090C4359" w:rsidR="004B5FCC">
        <w:t>’</w:t>
      </w:r>
      <w:r w:rsidRPr="090C4359" w:rsidR="008638F1">
        <w:t>.</w:t>
      </w:r>
      <w:r w:rsidRPr="090C4359" w:rsidR="004B5FCC">
        <w:rPr>
          <w:rStyle w:val="FootnoteReference"/>
        </w:rPr>
        <w:footnoteReference w:id="306"/>
      </w:r>
      <w:r w:rsidRPr="090C4359" w:rsidR="008638F1">
        <w:t xml:space="preserve"> They</w:t>
      </w:r>
      <w:r w:rsidRPr="090C4359" w:rsidR="00C36127">
        <w:t xml:space="preserve"> lists strengths of mediation as</w:t>
      </w:r>
      <w:r w:rsidRPr="090C4359" w:rsidR="008638F1">
        <w:t xml:space="preserve"> </w:t>
      </w:r>
      <w:r w:rsidRPr="090C4359" w:rsidR="00C5663E">
        <w:t>‘</w:t>
      </w:r>
      <w:r w:rsidRPr="090C4359" w:rsidR="002C0D5D">
        <w:t>concentrating on the mutual ‘interests’ of the involved parties as opposed to polarised positions, aiming to shift perspectives and achieve stable, lasting solutions</w:t>
      </w:r>
      <w:r w:rsidRPr="090C4359" w:rsidR="00C5663E">
        <w:t>’</w:t>
      </w:r>
      <w:r w:rsidRPr="090C4359" w:rsidR="002C7258">
        <w:t xml:space="preserve"> and</w:t>
      </w:r>
      <w:r w:rsidRPr="090C4359" w:rsidR="007E6AA2">
        <w:t xml:space="preserve"> highlight that it may be preferable to CECs in terms of inclusion of parental view and voice</w:t>
      </w:r>
      <w:r w:rsidRPr="090C4359" w:rsidR="00B31DC3">
        <w:t>.</w:t>
      </w:r>
      <w:r w:rsidRPr="090C4359" w:rsidR="00C5663E">
        <w:rPr>
          <w:rStyle w:val="FootnoteReference"/>
        </w:rPr>
        <w:footnoteReference w:id="307"/>
      </w:r>
    </w:p>
    <w:p w:rsidRPr="00F104F5" w:rsidR="002C0D5D" w:rsidP="002C0D5D" w:rsidRDefault="002C0D5D" w14:paraId="544E3008" w14:textId="77777777">
      <w:pPr>
        <w:pStyle w:val="Normal0"/>
        <w:rPr>
          <w:rFonts w:ascii="Segoe UI" w:hAnsi="Segoe UI" w:cs="Segoe UI"/>
          <w:sz w:val="22"/>
          <w:szCs w:val="22"/>
        </w:rPr>
      </w:pPr>
    </w:p>
    <w:p w:rsidRPr="00F104F5" w:rsidR="00612108" w:rsidP="004415C7" w:rsidRDefault="00B31DC3" w14:paraId="08F11793" w14:textId="52C33568">
      <w:pPr>
        <w:pStyle w:val="Normal0"/>
        <w:numPr>
          <w:ilvl w:val="0"/>
          <w:numId w:val="2"/>
        </w:numPr>
        <w:rPr>
          <w:rFonts w:asciiTheme="minorHAnsi" w:hAnsiTheme="minorHAnsi" w:cstheme="minorHAnsi"/>
          <w:sz w:val="22"/>
          <w:szCs w:val="22"/>
        </w:rPr>
      </w:pPr>
      <w:r w:rsidRPr="090C4359">
        <w:rPr>
          <w:rFonts w:asciiTheme="minorHAnsi" w:hAnsiTheme="minorHAnsi" w:cstheme="minorBidi"/>
          <w:sz w:val="22"/>
          <w:szCs w:val="22"/>
        </w:rPr>
        <w:t>Yet Choon</w:t>
      </w:r>
      <w:r w:rsidRPr="090C4359" w:rsidR="007F588A">
        <w:rPr>
          <w:rFonts w:asciiTheme="minorHAnsi" w:hAnsiTheme="minorHAnsi" w:cstheme="minorBidi"/>
          <w:sz w:val="22"/>
          <w:szCs w:val="22"/>
        </w:rPr>
        <w:t>g</w:t>
      </w:r>
      <w:r w:rsidRPr="090C4359">
        <w:rPr>
          <w:rFonts w:asciiTheme="minorHAnsi" w:hAnsiTheme="minorHAnsi" w:cstheme="minorBidi"/>
          <w:sz w:val="22"/>
          <w:szCs w:val="22"/>
        </w:rPr>
        <w:t xml:space="preserve"> questions mediations</w:t>
      </w:r>
      <w:r w:rsidRPr="090C4359" w:rsidR="007F588A">
        <w:rPr>
          <w:rFonts w:asciiTheme="minorHAnsi" w:hAnsiTheme="minorHAnsi" w:cstheme="minorBidi"/>
          <w:sz w:val="22"/>
          <w:szCs w:val="22"/>
        </w:rPr>
        <w:t>’ ability to resolve disputes that turn on questions of medical futility</w:t>
      </w:r>
      <w:r w:rsidRPr="090C4359" w:rsidR="00A054DF">
        <w:rPr>
          <w:rFonts w:asciiTheme="minorHAnsi" w:hAnsiTheme="minorHAnsi" w:cstheme="minorBidi"/>
          <w:sz w:val="22"/>
          <w:szCs w:val="22"/>
        </w:rPr>
        <w:t>.</w:t>
      </w:r>
      <w:r w:rsidRPr="090C4359" w:rsidR="007F588A">
        <w:rPr>
          <w:rFonts w:asciiTheme="minorHAnsi" w:hAnsiTheme="minorHAnsi" w:cstheme="minorBidi"/>
          <w:sz w:val="22"/>
          <w:szCs w:val="22"/>
        </w:rPr>
        <w:t xml:space="preserve"> She contends that</w:t>
      </w:r>
      <w:r w:rsidRPr="090C4359" w:rsidR="00C724B8">
        <w:rPr>
          <w:rFonts w:asciiTheme="minorHAnsi" w:hAnsiTheme="minorHAnsi" w:cstheme="minorBidi"/>
          <w:sz w:val="22"/>
          <w:szCs w:val="22"/>
        </w:rPr>
        <w:t xml:space="preserve"> the lack of a middle-ground, given the stark choices</w:t>
      </w:r>
      <w:r w:rsidRPr="090C4359" w:rsidR="003C316C">
        <w:rPr>
          <w:rFonts w:asciiTheme="minorHAnsi" w:hAnsiTheme="minorHAnsi" w:cstheme="minorBidi"/>
          <w:sz w:val="22"/>
          <w:szCs w:val="22"/>
        </w:rPr>
        <w:t xml:space="preserve"> or entrenched religious positions that these cases involve</w:t>
      </w:r>
      <w:r w:rsidRPr="090C4359" w:rsidR="00A6154B">
        <w:rPr>
          <w:rFonts w:asciiTheme="minorHAnsi" w:hAnsiTheme="minorHAnsi" w:cstheme="minorBidi"/>
          <w:sz w:val="22"/>
          <w:szCs w:val="22"/>
        </w:rPr>
        <w:t xml:space="preserve">, can be a barrier. </w:t>
      </w:r>
      <w:r w:rsidRPr="090C4359" w:rsidR="00155F9A">
        <w:rPr>
          <w:rStyle w:val="FootnoteReference"/>
          <w:rFonts w:asciiTheme="minorHAnsi" w:hAnsiTheme="minorHAnsi" w:cstheme="minorBidi"/>
          <w:sz w:val="22"/>
          <w:szCs w:val="22"/>
        </w:rPr>
        <w:footnoteReference w:id="308"/>
      </w:r>
      <w:r w:rsidRPr="090C4359" w:rsidR="00A6154B">
        <w:rPr>
          <w:rFonts w:asciiTheme="minorHAnsi" w:hAnsiTheme="minorHAnsi" w:cstheme="minorBidi"/>
          <w:sz w:val="22"/>
          <w:szCs w:val="22"/>
        </w:rPr>
        <w:t xml:space="preserve"> As Auckland and Goold observe</w:t>
      </w:r>
      <w:r w:rsidRPr="090C4359" w:rsidR="00342822">
        <w:rPr>
          <w:rFonts w:asciiTheme="minorHAnsi" w:hAnsiTheme="minorHAnsi" w:cstheme="minorBidi"/>
          <w:sz w:val="22"/>
          <w:szCs w:val="22"/>
        </w:rPr>
        <w:t>:</w:t>
      </w:r>
    </w:p>
    <w:p w:rsidRPr="00F104F5" w:rsidR="00612108" w:rsidP="00612108" w:rsidRDefault="00612108" w14:paraId="735E918A" w14:textId="77777777">
      <w:pPr>
        <w:pStyle w:val="ListParagraph"/>
        <w:rPr>
          <w:rFonts w:cstheme="minorHAnsi"/>
        </w:rPr>
      </w:pPr>
    </w:p>
    <w:p w:rsidRPr="00763E94" w:rsidR="00612108" w:rsidP="00612108" w:rsidRDefault="00612108" w14:paraId="06407F41" w14:textId="19C486CF">
      <w:pPr>
        <w:pStyle w:val="ListParagraph"/>
        <w:ind w:left="1440"/>
        <w:jc w:val="both"/>
        <w:rPr>
          <w:rFonts w:cstheme="minorHAnsi"/>
        </w:rPr>
      </w:pPr>
      <w:r w:rsidRPr="00763E94">
        <w:rPr>
          <w:rFonts w:cstheme="minorHAnsi"/>
        </w:rPr>
        <w:t>Achieving compromise in this context is hard: for the parent who regards their child’s life as inherently valuable, anything short of further treatment would be unacceptable. For the doctor meanwhile, agreeing to act in a way that they strongly believe to be contrary to the child’s interests (and potentially harmful), would require them to compromise on their core ethical duty to do good for their patient (…). Anticipating this, one or other party may fail to engage fully in the process, which will further undermine its likelihood of success. Mediation in these cases may then have done little more than to delay access to court proceedings and entrench the parties’ positions further.</w:t>
      </w:r>
      <w:r w:rsidRPr="00763E94">
        <w:rPr>
          <w:rStyle w:val="FootnoteReference"/>
          <w:rFonts w:cstheme="minorHAnsi"/>
        </w:rPr>
        <w:footnoteReference w:id="309"/>
      </w:r>
    </w:p>
    <w:p w:rsidRPr="00763E94" w:rsidR="00612108" w:rsidP="00612108" w:rsidRDefault="00612108" w14:paraId="24221C53" w14:textId="77777777">
      <w:pPr>
        <w:pStyle w:val="ListParagraph"/>
        <w:rPr>
          <w:rFonts w:cstheme="minorHAnsi"/>
        </w:rPr>
      </w:pPr>
    </w:p>
    <w:p w:rsidRPr="00763E94" w:rsidR="005C5E9B" w:rsidP="00275B78" w:rsidRDefault="00574879" w14:paraId="4710D98E" w14:textId="4EFE0B87">
      <w:pPr>
        <w:ind w:left="502"/>
        <w:jc w:val="both"/>
        <w:rPr>
          <w:rFonts w:cstheme="minorHAnsi"/>
          <w:sz w:val="24"/>
          <w:szCs w:val="24"/>
        </w:rPr>
      </w:pPr>
      <w:r w:rsidRPr="00763E94">
        <w:rPr>
          <w:rFonts w:cstheme="minorHAnsi"/>
        </w:rPr>
        <w:t xml:space="preserve">Conversely, where </w:t>
      </w:r>
      <w:r w:rsidRPr="00763E94" w:rsidR="00C2247C">
        <w:rPr>
          <w:rFonts w:cstheme="minorHAnsi"/>
        </w:rPr>
        <w:t xml:space="preserve">dispute is driven by a </w:t>
      </w:r>
      <w:r w:rsidRPr="00763E94" w:rsidR="001A632E">
        <w:rPr>
          <w:rFonts w:cstheme="minorHAnsi"/>
        </w:rPr>
        <w:t xml:space="preserve">medical </w:t>
      </w:r>
      <w:r w:rsidRPr="00763E94" w:rsidR="00C2247C">
        <w:rPr>
          <w:rFonts w:cstheme="minorHAnsi"/>
        </w:rPr>
        <w:t>factual error o</w:t>
      </w:r>
      <w:r w:rsidRPr="00763E94" w:rsidR="001A632E">
        <w:rPr>
          <w:rFonts w:cstheme="minorHAnsi"/>
        </w:rPr>
        <w:t xml:space="preserve">f understanding by the parents, </w:t>
      </w:r>
      <w:r w:rsidRPr="00763E94" w:rsidR="009A19D4">
        <w:rPr>
          <w:rFonts w:cstheme="minorHAnsi"/>
        </w:rPr>
        <w:t xml:space="preserve">and </w:t>
      </w:r>
      <w:r w:rsidRPr="00763E94" w:rsidR="001A632E">
        <w:rPr>
          <w:rFonts w:cstheme="minorHAnsi"/>
        </w:rPr>
        <w:t>wh</w:t>
      </w:r>
      <w:r w:rsidRPr="00763E94" w:rsidR="00807BD5">
        <w:rPr>
          <w:rFonts w:cstheme="minorHAnsi"/>
        </w:rPr>
        <w:t xml:space="preserve">ere if permitted could cause harm to the child, Auckland and Goold </w:t>
      </w:r>
      <w:r w:rsidRPr="00763E94" w:rsidR="005C67EF">
        <w:rPr>
          <w:rFonts w:cstheme="minorHAnsi"/>
        </w:rPr>
        <w:t>would welcome some form of pre-court mediation</w:t>
      </w:r>
      <w:r w:rsidRPr="00763E94" w:rsidR="0019137A">
        <w:rPr>
          <w:rFonts w:cstheme="minorHAnsi"/>
        </w:rPr>
        <w:t xml:space="preserve"> to help address such errors</w:t>
      </w:r>
      <w:r w:rsidRPr="00763E94" w:rsidR="0029723F">
        <w:rPr>
          <w:rFonts w:cstheme="minorHAnsi"/>
        </w:rPr>
        <w:t>.</w:t>
      </w:r>
      <w:r w:rsidRPr="00763E94" w:rsidR="0029723F">
        <w:rPr>
          <w:rStyle w:val="FootnoteReference"/>
          <w:rFonts w:cstheme="minorHAnsi"/>
        </w:rPr>
        <w:footnoteReference w:id="310"/>
      </w:r>
      <w:r w:rsidRPr="00763E94" w:rsidR="00342822">
        <w:rPr>
          <w:rFonts w:cstheme="minorHAnsi"/>
        </w:rPr>
        <w:t xml:space="preserve"> The second obstacle that Choong identifies is that neg</w:t>
      </w:r>
      <w:r w:rsidRPr="00763E94" w:rsidR="009E6D13">
        <w:rPr>
          <w:rFonts w:cstheme="minorHAnsi"/>
        </w:rPr>
        <w:t>otiations</w:t>
      </w:r>
      <w:r w:rsidRPr="00763E94" w:rsidR="00342822">
        <w:rPr>
          <w:rFonts w:cstheme="minorHAnsi"/>
        </w:rPr>
        <w:t xml:space="preserve"> happen in the “shadow of the law”</w:t>
      </w:r>
      <w:r w:rsidRPr="00763E94" w:rsidR="00FB72CB">
        <w:rPr>
          <w:rFonts w:cstheme="minorHAnsi"/>
        </w:rPr>
        <w:t xml:space="preserve"> – in that doctors know that should mediation fail they can always take the case to court</w:t>
      </w:r>
      <w:r w:rsidRPr="00763E94" w:rsidR="0028637B">
        <w:rPr>
          <w:rFonts w:cstheme="minorHAnsi"/>
        </w:rPr>
        <w:t xml:space="preserve">. </w:t>
      </w:r>
      <w:r w:rsidRPr="00763E94" w:rsidR="00013271">
        <w:rPr>
          <w:rFonts w:cstheme="minorHAnsi"/>
        </w:rPr>
        <w:t>She contends that because doctors know that</w:t>
      </w:r>
      <w:r w:rsidRPr="00763E94" w:rsidR="00342822">
        <w:rPr>
          <w:rFonts w:cstheme="minorHAnsi"/>
        </w:rPr>
        <w:t xml:space="preserve"> the courts almost always find in favour of doctors in futility cases, this therefore creates an unequal bargaining power in the mediation process.</w:t>
      </w:r>
      <w:r w:rsidRPr="00763E94" w:rsidR="003F4516">
        <w:rPr>
          <w:rStyle w:val="FootnoteReference"/>
          <w:rFonts w:cstheme="minorHAnsi"/>
        </w:rPr>
        <w:footnoteReference w:id="311"/>
      </w:r>
    </w:p>
    <w:p w:rsidRPr="00763E94" w:rsidR="00EA6459" w:rsidP="0030500B" w:rsidRDefault="00EA6459" w14:paraId="20104BCA" w14:textId="2C383B9B">
      <w:pPr>
        <w:jc w:val="both"/>
        <w:rPr>
          <w:rFonts w:cstheme="minorHAnsi"/>
          <w:sz w:val="24"/>
          <w:szCs w:val="24"/>
        </w:rPr>
      </w:pPr>
    </w:p>
    <w:p w:rsidRPr="00763E94" w:rsidR="006A1A55" w:rsidP="004415C7" w:rsidRDefault="008942D0" w14:paraId="6DCEE2B5" w14:textId="146E0289">
      <w:pPr>
        <w:pStyle w:val="ListParagraph"/>
        <w:numPr>
          <w:ilvl w:val="0"/>
          <w:numId w:val="2"/>
        </w:numPr>
      </w:pPr>
      <w:r w:rsidRPr="090C4359">
        <w:t>Another important point against mandating mediation</w:t>
      </w:r>
      <w:r w:rsidRPr="090C4359" w:rsidR="00876E67">
        <w:t xml:space="preserve"> is that it works on the premise of voluntary involvement.</w:t>
      </w:r>
      <w:r w:rsidRPr="090C4359" w:rsidR="002865EC">
        <w:t xml:space="preserve"> Barclay, </w:t>
      </w:r>
      <w:r w:rsidRPr="090C4359" w:rsidR="00B63F69">
        <w:t>founder</w:t>
      </w:r>
      <w:r w:rsidRPr="090C4359" w:rsidR="002865EC">
        <w:t xml:space="preserve"> of the Medical Mediation Foundation</w:t>
      </w:r>
      <w:r w:rsidRPr="090C4359" w:rsidR="005E704B">
        <w:t xml:space="preserve"> has</w:t>
      </w:r>
      <w:r w:rsidRPr="090C4359" w:rsidR="002865EC">
        <w:t xml:space="preserve"> stated in an</w:t>
      </w:r>
      <w:r w:rsidRPr="090C4359" w:rsidR="002865EC">
        <w:rPr>
          <w:sz w:val="24"/>
          <w:szCs w:val="24"/>
        </w:rPr>
        <w:t xml:space="preserve"> </w:t>
      </w:r>
      <w:r w:rsidRPr="090C4359" w:rsidR="002865EC">
        <w:t>interview</w:t>
      </w:r>
      <w:r w:rsidRPr="090C4359" w:rsidR="009A5BB4">
        <w:t xml:space="preserve"> with Radio Ombudsman</w:t>
      </w:r>
      <w:r w:rsidRPr="090C4359" w:rsidR="00603AD5">
        <w:t>,</w:t>
      </w:r>
      <w:r w:rsidRPr="090C4359" w:rsidR="002865EC">
        <w:t xml:space="preserve"> </w:t>
      </w:r>
      <w:r w:rsidRPr="090C4359" w:rsidR="00603AD5">
        <w:t>‘</w:t>
      </w:r>
      <w:r w:rsidRPr="090C4359" w:rsidR="002865EC">
        <w:rPr>
          <w:shd w:val="clear" w:color="auto" w:fill="FFFFFF"/>
        </w:rPr>
        <w:t>I know there’s a discussion at the moment about whether in medical mediation it should be compulsory. I understand that, but I think the value of mediation is in its voluntariness. It should never be a tick-box exercise</w:t>
      </w:r>
      <w:r w:rsidRPr="090C4359" w:rsidR="00603AD5">
        <w:rPr>
          <w:shd w:val="clear" w:color="auto" w:fill="FFFFFF"/>
        </w:rPr>
        <w:t>.’</w:t>
      </w:r>
      <w:r w:rsidRPr="090C4359" w:rsidR="00603AD5">
        <w:rPr>
          <w:rStyle w:val="FootnoteReference"/>
          <w:shd w:val="clear" w:color="auto" w:fill="FFFFFF"/>
        </w:rPr>
        <w:footnoteReference w:id="312"/>
      </w:r>
      <w:r w:rsidRPr="090C4359" w:rsidR="00603AD5">
        <w:rPr>
          <w:shd w:val="clear" w:color="auto" w:fill="FFFFFF"/>
        </w:rPr>
        <w:t xml:space="preserve"> The impact of this voluntariness was</w:t>
      </w:r>
      <w:r w:rsidRPr="090C4359" w:rsidR="00876E67">
        <w:t xml:space="preserve"> seen in the </w:t>
      </w:r>
      <w:r w:rsidRPr="090C4359" w:rsidR="00876E67">
        <w:rPr>
          <w:i/>
          <w:iCs/>
        </w:rPr>
        <w:t>Battersbee</w:t>
      </w:r>
      <w:r w:rsidRPr="090C4359" w:rsidR="00876E67">
        <w:t xml:space="preserve"> case,</w:t>
      </w:r>
      <w:r w:rsidRPr="090C4359" w:rsidR="002256F9">
        <w:t xml:space="preserve"> where mediation was initially refused, but after receiving legal advice the</w:t>
      </w:r>
      <w:r w:rsidRPr="090C4359" w:rsidR="00147AA9">
        <w:t xml:space="preserve"> family</w:t>
      </w:r>
      <w:r w:rsidRPr="090C4359" w:rsidR="002256F9">
        <w:t xml:space="preserve"> had reconsidered.</w:t>
      </w:r>
      <w:r w:rsidRPr="090C4359" w:rsidR="002256F9">
        <w:rPr>
          <w:rStyle w:val="FootnoteReference"/>
        </w:rPr>
        <w:footnoteReference w:id="313"/>
      </w:r>
      <w:r w:rsidRPr="090C4359" w:rsidR="002256F9">
        <w:t xml:space="preserve"> </w:t>
      </w:r>
      <w:r w:rsidRPr="090C4359" w:rsidR="00147AA9">
        <w:t>However, t</w:t>
      </w:r>
      <w:r w:rsidRPr="090C4359" w:rsidR="002256F9">
        <w:t>his new position on mediation had apparently not been communicated back to the treating team or</w:t>
      </w:r>
      <w:r w:rsidRPr="090C4359" w:rsidR="00147AA9">
        <w:t xml:space="preserve"> NHS</w:t>
      </w:r>
      <w:r w:rsidRPr="090C4359" w:rsidR="002256F9">
        <w:t xml:space="preserve"> Trus</w:t>
      </w:r>
      <w:r w:rsidRPr="090C4359" w:rsidR="00147AA9">
        <w:t>t, so no further opportunities for mediation were taken.</w:t>
      </w:r>
      <w:r w:rsidRPr="090C4359" w:rsidR="008B60C8">
        <w:rPr>
          <w:rStyle w:val="FootnoteReference"/>
        </w:rPr>
        <w:footnoteReference w:id="314"/>
      </w:r>
      <w:r w:rsidRPr="00763E94" w:rsidR="003A0013">
        <w:t xml:space="preserve"> </w:t>
      </w:r>
    </w:p>
    <w:p w:rsidRPr="00763E94" w:rsidR="00E22872" w:rsidP="00215352" w:rsidRDefault="00E22872" w14:paraId="64628983" w14:textId="77777777">
      <w:pPr>
        <w:jc w:val="both"/>
        <w:rPr>
          <w:i/>
          <w:iCs/>
          <w:sz w:val="24"/>
          <w:szCs w:val="24"/>
        </w:rPr>
      </w:pPr>
    </w:p>
    <w:p w:rsidRPr="00763E94" w:rsidR="009C280F" w:rsidP="00215352" w:rsidRDefault="002A13B9" w14:paraId="3C24AC44" w14:textId="19DB82C3">
      <w:pPr>
        <w:jc w:val="both"/>
        <w:rPr>
          <w:b/>
          <w:bCs/>
          <w:sz w:val="24"/>
          <w:szCs w:val="24"/>
          <w:u w:val="single"/>
        </w:rPr>
      </w:pPr>
      <w:r w:rsidRPr="00763E94">
        <w:rPr>
          <w:b/>
          <w:bCs/>
          <w:sz w:val="24"/>
          <w:szCs w:val="24"/>
          <w:u w:val="single"/>
        </w:rPr>
        <w:t xml:space="preserve">c) </w:t>
      </w:r>
      <w:r w:rsidRPr="00763E94" w:rsidR="00DC711E">
        <w:rPr>
          <w:b/>
          <w:bCs/>
          <w:sz w:val="24"/>
          <w:szCs w:val="24"/>
          <w:u w:val="single"/>
        </w:rPr>
        <w:t xml:space="preserve">Red – </w:t>
      </w:r>
      <w:r w:rsidRPr="00763E94" w:rsidR="00DE377F">
        <w:rPr>
          <w:b/>
          <w:bCs/>
          <w:sz w:val="24"/>
          <w:szCs w:val="24"/>
          <w:u w:val="single"/>
        </w:rPr>
        <w:t>S</w:t>
      </w:r>
      <w:r w:rsidRPr="00763E94" w:rsidR="00DC711E">
        <w:rPr>
          <w:b/>
          <w:bCs/>
          <w:sz w:val="24"/>
          <w:szCs w:val="24"/>
          <w:u w:val="single"/>
        </w:rPr>
        <w:t xml:space="preserve">evere </w:t>
      </w:r>
      <w:r w:rsidRPr="00763E94" w:rsidR="00DE377F">
        <w:rPr>
          <w:b/>
          <w:bCs/>
          <w:sz w:val="24"/>
          <w:szCs w:val="24"/>
          <w:u w:val="single"/>
        </w:rPr>
        <w:t>Conflict</w:t>
      </w:r>
      <w:r w:rsidRPr="00763E94" w:rsidR="00DC711E">
        <w:rPr>
          <w:b/>
          <w:bCs/>
          <w:sz w:val="24"/>
          <w:szCs w:val="24"/>
          <w:u w:val="single"/>
        </w:rPr>
        <w:t>: Legal Resolution</w:t>
      </w:r>
    </w:p>
    <w:p w:rsidRPr="00763E94" w:rsidR="009275EB" w:rsidP="009275EB" w:rsidRDefault="009275EB" w14:paraId="22788066" w14:textId="6AC79E2F">
      <w:pPr>
        <w:jc w:val="both"/>
        <w:rPr>
          <w:i/>
          <w:iCs/>
          <w:sz w:val="24"/>
          <w:szCs w:val="24"/>
        </w:rPr>
      </w:pPr>
      <w:r w:rsidRPr="00763E94">
        <w:rPr>
          <w:i/>
          <w:iCs/>
          <w:sz w:val="24"/>
          <w:szCs w:val="24"/>
        </w:rPr>
        <w:t xml:space="preserve">vi) Legal </w:t>
      </w:r>
      <w:r w:rsidRPr="00763E94" w:rsidR="00117769">
        <w:rPr>
          <w:i/>
          <w:iCs/>
          <w:sz w:val="24"/>
          <w:szCs w:val="24"/>
        </w:rPr>
        <w:t>r</w:t>
      </w:r>
      <w:r w:rsidRPr="00763E94">
        <w:rPr>
          <w:i/>
          <w:iCs/>
          <w:sz w:val="24"/>
          <w:szCs w:val="24"/>
        </w:rPr>
        <w:t>eform – Significant Harm</w:t>
      </w:r>
    </w:p>
    <w:p w:rsidRPr="00763E94" w:rsidR="009275EB" w:rsidP="004415C7" w:rsidRDefault="009275EB" w14:paraId="03E2800E" w14:textId="00CB79FE">
      <w:pPr>
        <w:pStyle w:val="ListParagraph"/>
        <w:numPr>
          <w:ilvl w:val="0"/>
          <w:numId w:val="2"/>
        </w:numPr>
        <w:jc w:val="both"/>
      </w:pPr>
      <w:r w:rsidRPr="00763E94">
        <w:t>The most prominent debate in the literature in the last 5 years has been whether there should be a change to the legal threshold for intervention in parental decision-making,</w:t>
      </w:r>
      <w:r w:rsidRPr="00763E94">
        <w:rPr>
          <w:rStyle w:val="FootnoteReference"/>
        </w:rPr>
        <w:footnoteReference w:id="315"/>
      </w:r>
      <w:r w:rsidRPr="00763E94">
        <w:t xml:space="preserve"> so that court proceedings can only be instituted if the child is suffering or at risk of suffering significant harm.</w:t>
      </w:r>
      <w:r w:rsidRPr="00763E94">
        <w:rPr>
          <w:rStyle w:val="FootnoteReference"/>
        </w:rPr>
        <w:footnoteReference w:id="316"/>
      </w:r>
      <w:r w:rsidRPr="00763E94">
        <w:t xml:space="preserve"> The courts have already considered this argument in both </w:t>
      </w:r>
      <w:r w:rsidRPr="090C4359">
        <w:rPr>
          <w:i/>
          <w:iCs/>
        </w:rPr>
        <w:t>Gard</w:t>
      </w:r>
      <w:r w:rsidRPr="00763E94">
        <w:t xml:space="preserve"> and </w:t>
      </w:r>
      <w:r w:rsidRPr="090C4359">
        <w:rPr>
          <w:i/>
          <w:iCs/>
        </w:rPr>
        <w:t>Evans</w:t>
      </w:r>
      <w:r w:rsidRPr="00763E94">
        <w:t xml:space="preserve"> and rejected it both times</w:t>
      </w:r>
      <w:r w:rsidRPr="00763E94" w:rsidR="00A733D2">
        <w:rPr>
          <w:rStyle w:val="FootnoteReference"/>
        </w:rPr>
        <w:footnoteReference w:id="317"/>
      </w:r>
      <w:r w:rsidRPr="00763E94">
        <w:t>, but the idea has substantial academic and popular interest (although by no means consensus),</w:t>
      </w:r>
      <w:r w:rsidRPr="00763E94" w:rsidR="00374214">
        <w:rPr>
          <w:rStyle w:val="FootnoteReference"/>
        </w:rPr>
        <w:footnoteReference w:id="318"/>
      </w:r>
      <w:r w:rsidRPr="00763E94">
        <w:t xml:space="preserve"> and as noted in the introduction, various proposals relating to it have been put before </w:t>
      </w:r>
      <w:r w:rsidRPr="00763E94" w:rsidR="003E425A">
        <w:t>P</w:t>
      </w:r>
      <w:r w:rsidRPr="00763E94">
        <w:t xml:space="preserve">arliament. </w:t>
      </w:r>
    </w:p>
    <w:p w:rsidRPr="00763E94" w:rsidR="009275EB" w:rsidP="009275EB" w:rsidRDefault="009275EB" w14:paraId="23575900" w14:textId="77777777">
      <w:pPr>
        <w:pStyle w:val="ListParagraph"/>
        <w:ind w:left="502"/>
        <w:jc w:val="both"/>
      </w:pPr>
    </w:p>
    <w:p w:rsidRPr="00763E94" w:rsidR="001E2327" w:rsidP="004415C7" w:rsidRDefault="009275EB" w14:paraId="77801386" w14:textId="5FA53372">
      <w:pPr>
        <w:pStyle w:val="ListParagraph"/>
        <w:numPr>
          <w:ilvl w:val="0"/>
          <w:numId w:val="2"/>
        </w:numPr>
        <w:jc w:val="both"/>
        <w:rPr>
          <w:rFonts w:cstheme="minorHAnsi"/>
        </w:rPr>
      </w:pPr>
      <w:r w:rsidRPr="00763E94">
        <w:t>The first argument advanced by proponents is one of consistency.</w:t>
      </w:r>
      <w:r w:rsidRPr="00763E94" w:rsidR="000D2DD4">
        <w:t xml:space="preserve"> </w:t>
      </w:r>
      <w:r w:rsidRPr="00763E94" w:rsidR="00AD62BC">
        <w:t>In the</w:t>
      </w:r>
      <w:r w:rsidRPr="00763E94" w:rsidR="000D2DD4">
        <w:t xml:space="preserve"> p</w:t>
      </w:r>
      <w:r w:rsidRPr="00763E94">
        <w:t>ublic law</w:t>
      </w:r>
      <w:r w:rsidRPr="00763E94" w:rsidR="00AD62BC">
        <w:t xml:space="preserve"> context, </w:t>
      </w:r>
      <w:r w:rsidRPr="00763E94" w:rsidR="00E116C9">
        <w:t>in order for the</w:t>
      </w:r>
      <w:r w:rsidRPr="00763E94">
        <w:t xml:space="preserve"> </w:t>
      </w:r>
      <w:r w:rsidRPr="00763E94" w:rsidR="00C72F16">
        <w:t>S</w:t>
      </w:r>
      <w:r w:rsidRPr="00763E94" w:rsidR="000D2DD4">
        <w:t xml:space="preserve">tate </w:t>
      </w:r>
      <w:r w:rsidRPr="00763E94" w:rsidR="00E116C9">
        <w:t>to intervene in</w:t>
      </w:r>
      <w:r w:rsidRPr="00763E94" w:rsidR="00C72F16">
        <w:t xml:space="preserve"> rela</w:t>
      </w:r>
      <w:r w:rsidRPr="00763E94" w:rsidR="00E116C9">
        <w:t>tion to</w:t>
      </w:r>
      <w:r w:rsidRPr="00763E94" w:rsidR="000D2DD4">
        <w:t xml:space="preserve"> child protection concerns</w:t>
      </w:r>
      <w:r w:rsidRPr="00763E94" w:rsidR="0065023E">
        <w:t>, the</w:t>
      </w:r>
      <w:r w:rsidRPr="00763E94" w:rsidR="00A648DB">
        <w:t xml:space="preserve"> </w:t>
      </w:r>
      <w:r w:rsidRPr="00763E94" w:rsidR="000D2DD4">
        <w:t>“</w:t>
      </w:r>
      <w:r w:rsidRPr="00763E94">
        <w:t>significant harm</w:t>
      </w:r>
      <w:r w:rsidRPr="00763E94" w:rsidR="000D2DD4">
        <w:t>”</w:t>
      </w:r>
      <w:r w:rsidRPr="00763E94" w:rsidR="0065023E">
        <w:t xml:space="preserve"> threshold must be crossed</w:t>
      </w:r>
      <w:r w:rsidRPr="00763E94" w:rsidR="002634D5">
        <w:t>.</w:t>
      </w:r>
      <w:r w:rsidRPr="00763E94">
        <w:rPr>
          <w:rStyle w:val="FootnoteReference"/>
        </w:rPr>
        <w:footnoteReference w:id="319"/>
      </w:r>
      <w:r w:rsidRPr="00763E94" w:rsidR="00A648DB">
        <w:t xml:space="preserve"> Birchley explains that in this context </w:t>
      </w:r>
      <w:r w:rsidRPr="00763E94">
        <w:t>the law refrains from intervening when parenting is merely mediocre or unusual, as to do otherwise ‘would amount to social engineering’.</w:t>
      </w:r>
      <w:r w:rsidRPr="00763E94">
        <w:rPr>
          <w:rStyle w:val="FootnoteReference"/>
        </w:rPr>
        <w:footnoteReference w:id="320"/>
      </w:r>
      <w:r w:rsidRPr="00763E94">
        <w:t xml:space="preserve"> </w:t>
      </w:r>
      <w:r w:rsidRPr="00763E94" w:rsidR="00462173">
        <w:t>However,</w:t>
      </w:r>
      <w:r w:rsidRPr="00763E94" w:rsidR="000C649F">
        <w:t xml:space="preserve"> Pruski points out</w:t>
      </w:r>
      <w:r w:rsidRPr="00763E94" w:rsidR="00777666">
        <w:t xml:space="preserve"> there is a disconnect when it comes to healthcare, </w:t>
      </w:r>
      <w:r w:rsidRPr="00763E94" w:rsidR="00880563">
        <w:t>with</w:t>
      </w:r>
      <w:r w:rsidRPr="00763E94" w:rsidR="00777666">
        <w:t xml:space="preserve"> intervention </w:t>
      </w:r>
      <w:r w:rsidRPr="00763E94" w:rsidR="00880563">
        <w:t>happening</w:t>
      </w:r>
      <w:r w:rsidRPr="00763E94" w:rsidR="00777666">
        <w:t xml:space="preserve"> a</w:t>
      </w:r>
      <w:r w:rsidRPr="00763E94" w:rsidR="0001383A">
        <w:t>t a lower</w:t>
      </w:r>
      <w:r w:rsidRPr="00763E94" w:rsidR="00777666">
        <w:t xml:space="preserve"> point </w:t>
      </w:r>
      <w:r w:rsidRPr="00763E94" w:rsidR="0001383A">
        <w:t>- where</w:t>
      </w:r>
      <w:r w:rsidRPr="00763E94" w:rsidR="00777666">
        <w:t xml:space="preserve"> parental decision</w:t>
      </w:r>
      <w:r w:rsidRPr="00763E94" w:rsidR="00880563">
        <w:t>-</w:t>
      </w:r>
      <w:r w:rsidRPr="00763E94" w:rsidR="00777666">
        <w:t>making is deemed contrary to the child’s best interests.</w:t>
      </w:r>
      <w:r w:rsidRPr="00763E94">
        <w:t xml:space="preserve"> </w:t>
      </w:r>
      <w:r w:rsidRPr="00763E94" w:rsidR="0001383A">
        <w:t>He laments this</w:t>
      </w:r>
      <w:r w:rsidRPr="00763E94" w:rsidR="006D609B">
        <w:t xml:space="preserve"> apparent</w:t>
      </w:r>
      <w:r w:rsidRPr="00763E94">
        <w:t xml:space="preserve"> inconsistency in the law</w:t>
      </w:r>
      <w:r w:rsidRPr="00763E94" w:rsidR="000B0731">
        <w:t xml:space="preserve">, </w:t>
      </w:r>
      <w:r w:rsidRPr="00763E94" w:rsidR="00BB263A">
        <w:t>noting that</w:t>
      </w:r>
      <w:r w:rsidRPr="00763E94">
        <w:t xml:space="preserve"> ‘we accept such a competent (or good enough) parent standard in other areas of the child’s life, such as education or nutrition, so it is an oddity that we do not accept it in cases of conflict with the clinical treating team’.</w:t>
      </w:r>
      <w:r w:rsidRPr="00763E94">
        <w:rPr>
          <w:rStyle w:val="FootnoteReference"/>
        </w:rPr>
        <w:footnoteReference w:id="321"/>
      </w:r>
      <w:r w:rsidRPr="00763E94">
        <w:t xml:space="preserve"> </w:t>
      </w:r>
    </w:p>
    <w:p w:rsidR="001E2327" w:rsidP="001E2327" w:rsidRDefault="001E2327" w14:paraId="0779F55E" w14:textId="77777777">
      <w:pPr>
        <w:pStyle w:val="ListParagraph"/>
      </w:pPr>
    </w:p>
    <w:p w:rsidRPr="008559FE" w:rsidR="009275EB" w:rsidP="004415C7" w:rsidRDefault="009275EB" w14:paraId="68FE2C84" w14:textId="18472914">
      <w:pPr>
        <w:pStyle w:val="ListParagraph"/>
        <w:numPr>
          <w:ilvl w:val="0"/>
          <w:numId w:val="2"/>
        </w:numPr>
        <w:jc w:val="both"/>
        <w:rPr>
          <w:rFonts w:cstheme="minorHAnsi"/>
        </w:rPr>
      </w:pPr>
      <w:r w:rsidRPr="008559FE">
        <w:t>In response, Birchley questions whether consistency is always desirable</w:t>
      </w:r>
      <w:r w:rsidR="006337B3">
        <w:t>.</w:t>
      </w:r>
      <w:r w:rsidRPr="008559FE">
        <w:rPr>
          <w:rStyle w:val="FootnoteReference"/>
        </w:rPr>
        <w:footnoteReference w:id="322"/>
      </w:r>
      <w:r w:rsidR="006337B3">
        <w:t xml:space="preserve"> </w:t>
      </w:r>
      <w:r w:rsidRPr="008559FE">
        <w:t>Gollop and Pope point to the fact that medical decision-making and care</w:t>
      </w:r>
      <w:r>
        <w:rPr>
          <w:sz w:val="24"/>
          <w:szCs w:val="24"/>
        </w:rPr>
        <w:t xml:space="preserve"> </w:t>
      </w:r>
      <w:r w:rsidRPr="008559FE">
        <w:t xml:space="preserve">proceedings are entirely different and that </w:t>
      </w:r>
      <w:r w:rsidRPr="090C4359">
        <w:t>therefore different thresholds are justified.</w:t>
      </w:r>
      <w:r w:rsidRPr="090C4359">
        <w:rPr>
          <w:rStyle w:val="FootnoteReference"/>
        </w:rPr>
        <w:footnoteReference w:id="323"/>
      </w:r>
      <w:r w:rsidRPr="090C4359">
        <w:t xml:space="preserve"> The first addresses a single issue decision that requires ‘targeted intervention’,</w:t>
      </w:r>
      <w:r w:rsidRPr="090C4359" w:rsidR="00FB5793">
        <w:rPr>
          <w:rStyle w:val="FootnoteReference"/>
        </w:rPr>
        <w:t xml:space="preserve"> </w:t>
      </w:r>
      <w:r w:rsidRPr="090C4359" w:rsidR="00FB5793">
        <w:rPr>
          <w:rStyle w:val="FootnoteReference"/>
        </w:rPr>
        <w:footnoteReference w:id="324"/>
      </w:r>
      <w:r w:rsidRPr="090C4359">
        <w:t xml:space="preserve"> which the state is well resourced to deliver and the outcome is reasonably predictable, whereas the latter is an intervention due to an assessment of overall poor parenting;</w:t>
      </w:r>
      <w:r w:rsidRPr="090C4359">
        <w:rPr>
          <w:rStyle w:val="FootnoteReference"/>
        </w:rPr>
        <w:t xml:space="preserve"> </w:t>
      </w:r>
      <w:r w:rsidRPr="090C4359">
        <w:rPr>
          <w:rStyle w:val="FootnoteReference"/>
        </w:rPr>
        <w:footnoteReference w:id="325"/>
      </w:r>
      <w:r w:rsidRPr="090C4359">
        <w:t xml:space="preserve"> ‘a last-ditch activity, poorly resourced and that we are unsure will produce significant benefit’.</w:t>
      </w:r>
      <w:r w:rsidRPr="090C4359">
        <w:rPr>
          <w:rStyle w:val="FootnoteReference"/>
        </w:rPr>
        <w:t xml:space="preserve"> </w:t>
      </w:r>
      <w:r w:rsidRPr="090C4359">
        <w:rPr>
          <w:rStyle w:val="FootnoteReference"/>
        </w:rPr>
        <w:footnoteReference w:id="326"/>
      </w:r>
      <w:r w:rsidRPr="090C4359">
        <w:t xml:space="preserve"> Cave and Nottingham argue that clinical decision-making is different to legal decision-making – clinical is within a constantly changing dynamic and failures can result in increased patient burden, scrutiny of decision-makers and additional resources.</w:t>
      </w:r>
      <w:r w:rsidRPr="090C4359">
        <w:rPr>
          <w:rStyle w:val="FootnoteReference"/>
        </w:rPr>
        <w:footnoteReference w:id="327"/>
      </w:r>
      <w:r w:rsidRPr="090C4359">
        <w:t xml:space="preserve"> To counter this, Wilkinson contends that whatever the legal differences might be, there is an </w:t>
      </w:r>
      <w:r w:rsidRPr="090C4359">
        <w:rPr>
          <w:i/>
          <w:iCs/>
        </w:rPr>
        <w:t>ethical</w:t>
      </w:r>
      <w:r w:rsidRPr="090C4359">
        <w:t xml:space="preserve"> case to support consistency, which links to the parents’ role as decision-makers.</w:t>
      </w:r>
      <w:r w:rsidRPr="090C4359">
        <w:rPr>
          <w:rStyle w:val="FootnoteReference"/>
        </w:rPr>
        <w:footnoteReference w:id="328"/>
      </w:r>
    </w:p>
    <w:p w:rsidRPr="008559FE" w:rsidR="002A6CFE" w:rsidP="002A6CFE" w:rsidRDefault="002A6CFE" w14:paraId="1ED5415C" w14:textId="77777777">
      <w:pPr>
        <w:pStyle w:val="ListParagraph"/>
        <w:ind w:left="502"/>
        <w:jc w:val="both"/>
        <w:rPr>
          <w:rFonts w:cstheme="minorHAnsi"/>
        </w:rPr>
      </w:pPr>
    </w:p>
    <w:p w:rsidR="00B510BF" w:rsidP="004415C7" w:rsidRDefault="009275EB" w14:paraId="76C00400" w14:textId="2C8DB92E">
      <w:pPr>
        <w:pStyle w:val="ListParagraph"/>
        <w:numPr>
          <w:ilvl w:val="0"/>
          <w:numId w:val="2"/>
        </w:numPr>
        <w:jc w:val="both"/>
        <w:rPr>
          <w:rFonts w:cstheme="minorHAnsi"/>
        </w:rPr>
      </w:pPr>
      <w:r w:rsidRPr="090C4359">
        <w:t>This is the second reason given to support the change; that a shift to a “higher” threshold for intervention would better recognise and protect ‘parental autonomy’, which could be seen as ‘the extension of liberal democratic principles to confer a limited privacy right for parents’.</w:t>
      </w:r>
      <w:r w:rsidRPr="090C4359">
        <w:rPr>
          <w:rStyle w:val="FootnoteReference"/>
        </w:rPr>
        <w:footnoteReference w:id="329"/>
      </w:r>
      <w:r w:rsidRPr="090C4359">
        <w:t xml:space="preserve"> Giving parents determinative decisional rights below that threshold is justified by the premise that parents are best placed to make decisions for their children due to their intimate knowledge of the child, that they generally act in love, and</w:t>
      </w:r>
      <w:r w:rsidRPr="090C4359" w:rsidR="00684F16">
        <w:t xml:space="preserve"> that they</w:t>
      </w:r>
      <w:r w:rsidRPr="090C4359">
        <w:t xml:space="preserve"> will bear the long-term consequences of the decision.</w:t>
      </w:r>
      <w:r w:rsidRPr="090C4359">
        <w:rPr>
          <w:rStyle w:val="FootnoteReference"/>
        </w:rPr>
        <w:footnoteReference w:id="330"/>
      </w:r>
      <w:r w:rsidRPr="090C4359">
        <w:t xml:space="preserve">  </w:t>
      </w:r>
    </w:p>
    <w:p w:rsidRPr="00B510BF" w:rsidR="00B510BF" w:rsidP="00B510BF" w:rsidRDefault="00B510BF" w14:paraId="3F665A94" w14:textId="77777777">
      <w:pPr>
        <w:pStyle w:val="ListParagraph"/>
        <w:rPr>
          <w:rFonts w:cstheme="minorHAnsi"/>
        </w:rPr>
      </w:pPr>
    </w:p>
    <w:p w:rsidRPr="00321606" w:rsidR="009275EB" w:rsidP="004415C7" w:rsidRDefault="009275EB" w14:paraId="38DE3C13" w14:textId="0B48D7FD">
      <w:pPr>
        <w:pStyle w:val="ListParagraph"/>
        <w:numPr>
          <w:ilvl w:val="0"/>
          <w:numId w:val="2"/>
        </w:numPr>
        <w:jc w:val="both"/>
        <w:rPr>
          <w:rFonts w:cstheme="minorHAnsi"/>
        </w:rPr>
      </w:pPr>
      <w:r w:rsidRPr="090C4359">
        <w:t>Yet there are concerns that the harm threshold ‘seems to break the link with the necessity to act with a child’s welfare in mind’,</w:t>
      </w:r>
      <w:r w:rsidRPr="090C4359">
        <w:rPr>
          <w:rStyle w:val="FootnoteReference"/>
        </w:rPr>
        <w:footnoteReference w:id="331"/>
      </w:r>
      <w:r w:rsidRPr="090C4359" w:rsidR="0053637D">
        <w:t xml:space="preserve"> with</w:t>
      </w:r>
      <w:r w:rsidRPr="090C4359">
        <w:t xml:space="preserve"> </w:t>
      </w:r>
      <w:r w:rsidRPr="090C4359" w:rsidR="0053637D">
        <w:t>Archard contending that ‘[b]eing motivated to do what is best for someone does not make one the best or even a better judge of what is in fact best. Love can indeed be blind’.</w:t>
      </w:r>
      <w:r w:rsidRPr="090C4359" w:rsidR="0053637D">
        <w:rPr>
          <w:rStyle w:val="FootnoteReference"/>
        </w:rPr>
        <w:footnoteReference w:id="332"/>
      </w:r>
      <w:r w:rsidRPr="090C4359" w:rsidR="0053637D">
        <w:t xml:space="preserve"> O</w:t>
      </w:r>
      <w:r w:rsidRPr="090C4359">
        <w:t>pponents claim that best interests already recognises the parents role in decision-making. Birchley recounts that there is sometimes a degree of sub-optimisation of the clinical goals to maintain dialogue with the parents, yet this</w:t>
      </w:r>
      <w:r w:rsidRPr="00F03848">
        <w:t xml:space="preserve"> should not amount to ‘simple capitulation to obviously poor parental judgments’.</w:t>
      </w:r>
      <w:r w:rsidRPr="00F03848">
        <w:rPr>
          <w:rStyle w:val="FootnoteReference"/>
        </w:rPr>
        <w:footnoteReference w:id="333"/>
      </w:r>
      <w:r w:rsidR="00F03848">
        <w:t xml:space="preserve"> According</w:t>
      </w:r>
      <w:r w:rsidRPr="0062713D">
        <w:rPr>
          <w:sz w:val="24"/>
          <w:szCs w:val="24"/>
        </w:rPr>
        <w:t xml:space="preserve"> </w:t>
      </w:r>
      <w:r w:rsidRPr="090C4359">
        <w:t>to Taylor</w:t>
      </w:r>
      <w:r w:rsidRPr="090C4359" w:rsidR="00A923AE">
        <w:t>,</w:t>
      </w:r>
      <w:r w:rsidRPr="090C4359">
        <w:t xml:space="preserve"> the law works by emphasising the parents primary decision-making role, not by ‘carving out decisions in which parents are immune from challenge’</w:t>
      </w:r>
      <w:r w:rsidRPr="090C4359" w:rsidR="009077E1">
        <w:t>.</w:t>
      </w:r>
      <w:r w:rsidRPr="090C4359">
        <w:rPr>
          <w:rStyle w:val="FootnoteReference"/>
        </w:rPr>
        <w:footnoteReference w:id="334"/>
      </w:r>
      <w:r w:rsidRPr="090C4359">
        <w:t xml:space="preserve"> </w:t>
      </w:r>
    </w:p>
    <w:p w:rsidRPr="00321606" w:rsidR="00321606" w:rsidP="00321606" w:rsidRDefault="00321606" w14:paraId="5748D9C0" w14:textId="77777777">
      <w:pPr>
        <w:pStyle w:val="ListParagraph"/>
        <w:ind w:left="502"/>
        <w:jc w:val="both"/>
        <w:rPr>
          <w:rFonts w:cstheme="minorHAnsi"/>
        </w:rPr>
      </w:pPr>
    </w:p>
    <w:p w:rsidR="00EB4525" w:rsidP="004415C7" w:rsidRDefault="009275EB" w14:paraId="35769192" w14:textId="77777777">
      <w:pPr>
        <w:pStyle w:val="ListParagraph"/>
        <w:numPr>
          <w:ilvl w:val="0"/>
          <w:numId w:val="2"/>
        </w:numPr>
        <w:jc w:val="both"/>
        <w:rPr>
          <w:rFonts w:cstheme="minorHAnsi"/>
        </w:rPr>
      </w:pPr>
      <w:r w:rsidRPr="090C4359">
        <w:t>Proponents claim that the concept of best interests is too vague, especially when decisions are complex, value laden and medically uncertain.</w:t>
      </w:r>
      <w:r w:rsidRPr="090C4359">
        <w:rPr>
          <w:rStyle w:val="FootnoteReference"/>
        </w:rPr>
        <w:footnoteReference w:id="335"/>
      </w:r>
      <w:r w:rsidRPr="090C4359" w:rsidR="00855FA5">
        <w:t xml:space="preserve"> Diekema argues that harm is much better understood by clinicians than best interests</w:t>
      </w:r>
      <w:r w:rsidRPr="090C4359">
        <w:t>,</w:t>
      </w:r>
      <w:r w:rsidRPr="090C4359" w:rsidR="00855FA5">
        <w:rPr>
          <w:rStyle w:val="FootnoteReference"/>
        </w:rPr>
        <w:footnoteReference w:id="336"/>
      </w:r>
      <w:r w:rsidRPr="090C4359">
        <w:t xml:space="preserve"> offer</w:t>
      </w:r>
      <w:r w:rsidRPr="090C4359" w:rsidR="00855FA5">
        <w:t>ing</w:t>
      </w:r>
      <w:r w:rsidRPr="090C4359">
        <w:t xml:space="preserve"> ‘a clearer line for clinicians to engage with about when to request judicial input’, </w:t>
      </w:r>
      <w:r w:rsidRPr="090C4359">
        <w:rPr>
          <w:rStyle w:val="FootnoteReference"/>
        </w:rPr>
        <w:footnoteReference w:id="337"/>
      </w:r>
      <w:r w:rsidRPr="090C4359">
        <w:t xml:space="preserve"> as well as ‘more overtly’ protecting parents decision-making authority and presenting a threshold which is ‘clear and more intelligible’ to them.</w:t>
      </w:r>
      <w:r w:rsidRPr="090C4359">
        <w:rPr>
          <w:rStyle w:val="FootnoteReference"/>
        </w:rPr>
        <w:footnoteReference w:id="338"/>
      </w:r>
      <w:r w:rsidRPr="090C4359" w:rsidR="0060443A">
        <w:t xml:space="preserve"> A study by Nair et al, bor</w:t>
      </w:r>
      <w:r w:rsidRPr="090C4359" w:rsidR="00150A02">
        <w:t xml:space="preserve">e this out, finding that </w:t>
      </w:r>
      <w:r w:rsidRPr="090C4359" w:rsidR="00BF30EB">
        <w:t>the intuitions of members of the public surveyed were most consistent</w:t>
      </w:r>
      <w:r w:rsidRPr="090C4359" w:rsidR="004207F1">
        <w:t xml:space="preserve"> with</w:t>
      </w:r>
      <w:r w:rsidRPr="090C4359" w:rsidR="00BF30EB">
        <w:t xml:space="preserve"> </w:t>
      </w:r>
      <w:r w:rsidRPr="090C4359" w:rsidR="006B3BF2">
        <w:t>a harm or parental discretion model and inconsistent with best interests.</w:t>
      </w:r>
      <w:r w:rsidRPr="090C4359" w:rsidR="00BF30EB">
        <w:t xml:space="preserve"> </w:t>
      </w:r>
      <w:r w:rsidRPr="090C4359" w:rsidR="006B3BF2">
        <w:rPr>
          <w:rStyle w:val="FootnoteReference"/>
        </w:rPr>
        <w:footnoteReference w:id="339"/>
      </w:r>
      <w:r w:rsidRPr="090C4359" w:rsidR="00F237F9">
        <w:t xml:space="preserve"> </w:t>
      </w:r>
    </w:p>
    <w:p w:rsidRPr="00EB4525" w:rsidR="00EB4525" w:rsidP="00EB4525" w:rsidRDefault="00EB4525" w14:paraId="20BB6CAD" w14:textId="77777777">
      <w:pPr>
        <w:pStyle w:val="ListParagraph"/>
        <w:rPr>
          <w:rFonts w:cstheme="minorHAnsi"/>
        </w:rPr>
      </w:pPr>
    </w:p>
    <w:p w:rsidRPr="00444804" w:rsidR="009275EB" w:rsidP="004415C7" w:rsidRDefault="009275EB" w14:paraId="3D9CB887" w14:textId="71B13DA1">
      <w:pPr>
        <w:pStyle w:val="ListParagraph"/>
        <w:numPr>
          <w:ilvl w:val="0"/>
          <w:numId w:val="2"/>
        </w:numPr>
        <w:jc w:val="both"/>
        <w:rPr>
          <w:rFonts w:cstheme="minorHAnsi"/>
        </w:rPr>
      </w:pPr>
      <w:r w:rsidRPr="090C4359">
        <w:t>However, the literature contends that the concept of harm is not without its difficulties,</w:t>
      </w:r>
      <w:r w:rsidRPr="090C4359" w:rsidR="00130C9D">
        <w:rPr>
          <w:rStyle w:val="FootnoteReference"/>
        </w:rPr>
        <w:footnoteReference w:id="340"/>
      </w:r>
      <w:r w:rsidRPr="090C4359">
        <w:t xml:space="preserve"> and Bester argues that indeterminacy in what “harm” actually entails and how to measure if it is “significant”, might make it more difficult, not less for parents to uphold their views.</w:t>
      </w:r>
      <w:r w:rsidRPr="090C4359">
        <w:rPr>
          <w:rStyle w:val="FootnoteReference"/>
        </w:rPr>
        <w:footnoteReference w:id="341"/>
      </w:r>
      <w:r w:rsidRPr="090C4359" w:rsidR="00427B74">
        <w:t xml:space="preserve"> </w:t>
      </w:r>
      <w:r w:rsidRPr="090C4359">
        <w:t>Birchley notes that often harm is equated to physical suffering, but with many interventions in the PICU entailing some degree of pain or suffering in ‘a trade</w:t>
      </w:r>
      <w:r w:rsidRPr="090C4359" w:rsidR="00897957">
        <w:t>-</w:t>
      </w:r>
      <w:r w:rsidRPr="090C4359">
        <w:t>off between short-term pain and long-term recovery’, it is problematic to necessarily equate pain with harm.</w:t>
      </w:r>
      <w:r w:rsidRPr="090C4359">
        <w:rPr>
          <w:rStyle w:val="FootnoteReference"/>
        </w:rPr>
        <w:t xml:space="preserve"> </w:t>
      </w:r>
      <w:r w:rsidRPr="090C4359">
        <w:rPr>
          <w:rStyle w:val="FootnoteReference"/>
        </w:rPr>
        <w:footnoteReference w:id="342"/>
      </w:r>
      <w:r w:rsidRPr="090C4359">
        <w:t xml:space="preserve"> Even if not suffering pain, </w:t>
      </w:r>
      <w:r w:rsidRPr="090C4359" w:rsidR="003B6D79">
        <w:t>it is possible to</w:t>
      </w:r>
      <w:r w:rsidRPr="090C4359">
        <w:t xml:space="preserve"> argue that the continuation of futile treatment could be deemed to be a ‘harm’ – a harm to dignity,</w:t>
      </w:r>
      <w:r w:rsidRPr="090C4359" w:rsidR="00C00531">
        <w:t xml:space="preserve"> </w:t>
      </w:r>
      <w:r w:rsidRPr="090C4359" w:rsidR="00C00531">
        <w:rPr>
          <w:rStyle w:val="FootnoteReference"/>
        </w:rPr>
        <w:footnoteReference w:id="343"/>
      </w:r>
      <w:r w:rsidRPr="090C4359" w:rsidR="00C00531">
        <w:t xml:space="preserve"> </w:t>
      </w:r>
      <w:r w:rsidRPr="090C4359">
        <w:t xml:space="preserve"> but equally to withdraw treatment and end a life </w:t>
      </w:r>
      <w:r w:rsidRPr="090C4359" w:rsidR="006837C5">
        <w:t>may</w:t>
      </w:r>
      <w:r w:rsidRPr="090C4359">
        <w:t xml:space="preserve"> also</w:t>
      </w:r>
      <w:r w:rsidRPr="090C4359" w:rsidR="009118AA">
        <w:t xml:space="preserve"> be</w:t>
      </w:r>
      <w:r w:rsidRPr="090C4359">
        <w:t xml:space="preserve"> a significant harm. </w:t>
      </w:r>
      <w:r w:rsidRPr="090C4359">
        <w:rPr>
          <w:rStyle w:val="FootnoteReference"/>
        </w:rPr>
        <w:footnoteReference w:id="344"/>
      </w:r>
      <w:r w:rsidRPr="090C4359">
        <w:t xml:space="preserve"> Parents suffer significant harm if treatment is withdrawn when they are not reconciled to it and want their child to go on living, </w:t>
      </w:r>
      <w:r w:rsidRPr="090C4359">
        <w:rPr>
          <w:rStyle w:val="FootnoteReference"/>
        </w:rPr>
        <w:footnoteReference w:id="345"/>
      </w:r>
      <w:r w:rsidRPr="090C4359">
        <w:t xml:space="preserve"> and Moore draws attention to claims of ‘spiritual wrongs’ which parents could claim result in ‘grievous metaphysical</w:t>
      </w:r>
      <w:r w:rsidRPr="090C4359">
        <w:rPr>
          <w:sz w:val="24"/>
          <w:szCs w:val="24"/>
        </w:rPr>
        <w:t xml:space="preserve"> harm </w:t>
      </w:r>
      <w:r w:rsidRPr="090C4359">
        <w:t>to the child, which cannot be proved nor disproved’.</w:t>
      </w:r>
      <w:r w:rsidRPr="090C4359">
        <w:rPr>
          <w:rStyle w:val="FootnoteReference"/>
        </w:rPr>
        <w:footnoteReference w:id="346"/>
      </w:r>
      <w:r w:rsidRPr="090C4359" w:rsidR="001F0FA5">
        <w:t xml:space="preserve"> Wilkinson responds by acknowledging that whilst </w:t>
      </w:r>
      <w:r w:rsidRPr="090C4359" w:rsidR="00871120">
        <w:t xml:space="preserve">notions of harm may be vague, they are no </w:t>
      </w:r>
      <w:r w:rsidRPr="090C4359" w:rsidR="00871120">
        <w:rPr>
          <w:i/>
          <w:iCs/>
        </w:rPr>
        <w:t>more</w:t>
      </w:r>
      <w:r w:rsidRPr="090C4359" w:rsidR="00871120">
        <w:t xml:space="preserve"> vague than best interests.</w:t>
      </w:r>
      <w:r w:rsidRPr="090C4359" w:rsidR="00871120">
        <w:rPr>
          <w:rStyle w:val="FootnoteReference"/>
        </w:rPr>
        <w:footnoteReference w:id="347"/>
      </w:r>
    </w:p>
    <w:p w:rsidRPr="00444804" w:rsidR="00820E64" w:rsidP="00820E64" w:rsidRDefault="00820E64" w14:paraId="3023B1A8" w14:textId="77777777">
      <w:pPr>
        <w:pStyle w:val="ListParagraph"/>
        <w:ind w:left="502"/>
        <w:jc w:val="both"/>
      </w:pPr>
    </w:p>
    <w:p w:rsidRPr="00444804" w:rsidR="009275EB" w:rsidP="004415C7" w:rsidRDefault="009275EB" w14:paraId="5CB753B8" w14:textId="190E04E9">
      <w:pPr>
        <w:pStyle w:val="ListParagraph"/>
        <w:numPr>
          <w:ilvl w:val="0"/>
          <w:numId w:val="2"/>
        </w:numPr>
        <w:jc w:val="both"/>
      </w:pPr>
      <w:r w:rsidRPr="00444804">
        <w:t>Gollop and Pope are concerned about the language of “harm”, contending that it is bad enough for parents to be told by a court that what they wanted for their child was not ‘best’ let alone that it was ‘significantly harmful’.</w:t>
      </w:r>
      <w:r w:rsidRPr="00444804">
        <w:rPr>
          <w:rStyle w:val="FootnoteReference"/>
        </w:rPr>
        <w:footnoteReference w:id="348"/>
      </w:r>
      <w:r w:rsidRPr="00444804">
        <w:t xml:space="preserve"> A change to harm could have a ‘chilling effect’ on parental autonomy, and they warn that a court-finding of significant harm has the potential to put the </w:t>
      </w:r>
      <w:r w:rsidRPr="00763E94">
        <w:t>parents on the Local Authority’s radar as a safeguarding concern. This would shift a hospital’s duty from care to child protection, entailing them building a case of “harm” against the parents</w:t>
      </w:r>
      <w:r w:rsidRPr="00763E94" w:rsidR="003B257F">
        <w:t xml:space="preserve"> and</w:t>
      </w:r>
      <w:r w:rsidRPr="00763E94">
        <w:t xml:space="preserve"> as a result </w:t>
      </w:r>
      <w:r w:rsidRPr="00763E94">
        <w:rPr>
          <w:rStyle w:val="FootnoteReference"/>
        </w:rPr>
        <w:t xml:space="preserve"> ‘</w:t>
      </w:r>
      <w:r w:rsidRPr="00763E94">
        <w:t>positions would harden, dialogue</w:t>
      </w:r>
      <w:r w:rsidRPr="00763E94" w:rsidR="003B257F">
        <w:t xml:space="preserve"> would</w:t>
      </w:r>
      <w:r w:rsidRPr="00763E94">
        <w:t xml:space="preserve"> be more difficult and mediation</w:t>
      </w:r>
      <w:r w:rsidRPr="00763E94" w:rsidR="003B257F">
        <w:t xml:space="preserve"> would</w:t>
      </w:r>
      <w:r w:rsidRPr="00763E94">
        <w:t xml:space="preserve"> have less chance of success.</w:t>
      </w:r>
      <w:r w:rsidRPr="00763E94">
        <w:rPr>
          <w:rStyle w:val="FootnoteReference"/>
        </w:rPr>
        <w:footnoteReference w:id="349"/>
      </w:r>
      <w:r w:rsidRPr="00763E94">
        <w:t xml:space="preserve"> Goold responds that we should be concerned about an ‘unnecessarily harsh’ impact, but that there is no evidence that parents would find the language of “harm” any more stigmatising than having their wishes overridden in the name of best interest – the problem comes from the thwarting of choice, not the language used to achieve it.</w:t>
      </w:r>
      <w:r w:rsidRPr="00763E94">
        <w:rPr>
          <w:rStyle w:val="FootnoteReference"/>
        </w:rPr>
        <w:footnoteReference w:id="350"/>
      </w:r>
      <w:r w:rsidRPr="00763E94">
        <w:t xml:space="preserve"> </w:t>
      </w:r>
    </w:p>
    <w:p w:rsidRPr="00444804" w:rsidR="009275EB" w:rsidP="009275EB" w:rsidRDefault="009275EB" w14:paraId="0013993B" w14:textId="77777777">
      <w:pPr>
        <w:jc w:val="both"/>
      </w:pPr>
    </w:p>
    <w:p w:rsidR="00DE7724" w:rsidP="004415C7" w:rsidRDefault="009275EB" w14:paraId="135D6A2B" w14:textId="77777777">
      <w:pPr>
        <w:pStyle w:val="ListParagraph"/>
        <w:numPr>
          <w:ilvl w:val="0"/>
          <w:numId w:val="2"/>
        </w:numPr>
        <w:jc w:val="both"/>
      </w:pPr>
      <w:r w:rsidRPr="00444804">
        <w:t xml:space="preserve">The final reason </w:t>
      </w:r>
      <w:r w:rsidR="00A10AB2">
        <w:t xml:space="preserve">given in </w:t>
      </w:r>
      <w:r w:rsidRPr="00444804">
        <w:t xml:space="preserve"> support</w:t>
      </w:r>
      <w:r w:rsidR="00A10AB2">
        <w:t xml:space="preserve"> of</w:t>
      </w:r>
      <w:r w:rsidRPr="00444804">
        <w:t xml:space="preserve"> change, is that the harm threshold more accurately reflects what is actually used in practice in both the clinic and the courtroom, given that intervention does not occur until there are concerns about harm,</w:t>
      </w:r>
      <w:r w:rsidRPr="00444804">
        <w:rPr>
          <w:rStyle w:val="FootnoteReference"/>
        </w:rPr>
        <w:footnoteReference w:id="351"/>
      </w:r>
      <w:r w:rsidRPr="00444804">
        <w:t xml:space="preserve"> or as Bridgeman contends there is a ‘conflict of professional conscience’</w:t>
      </w:r>
      <w:r w:rsidRPr="003F7CA5">
        <w:t>.</w:t>
      </w:r>
      <w:r w:rsidRPr="003F7CA5">
        <w:rPr>
          <w:rStyle w:val="FootnoteReference"/>
        </w:rPr>
        <w:footnoteReference w:id="352"/>
      </w:r>
      <w:r w:rsidRPr="003F7CA5">
        <w:t xml:space="preserve"> Birchley draws on an empirical study of parental and professional understandings of approaches used in the clinic when making decisions about children. The results surprisingly found that the term ‘harm’ is rarely used by either parents or professionals, however, the minimising of pain and suffering was a reasonably common threshold, which may equate to the avoidance of harm.</w:t>
      </w:r>
      <w:r w:rsidRPr="003F7CA5">
        <w:rPr>
          <w:rStyle w:val="FootnoteReference"/>
        </w:rPr>
        <w:t xml:space="preserve"> </w:t>
      </w:r>
      <w:r w:rsidRPr="003F7CA5">
        <w:rPr>
          <w:rStyle w:val="FootnoteReference"/>
        </w:rPr>
        <w:footnoteReference w:id="353"/>
      </w:r>
      <w:r w:rsidRPr="003F7CA5">
        <w:t xml:space="preserve"> Yet what was ‘best for the child’ was found to be the overriding imperative for parents, whilst for doctors and nurses it was what was ‘best for the family’.</w:t>
      </w:r>
      <w:r w:rsidRPr="003F7CA5">
        <w:rPr>
          <w:rStyle w:val="FootnoteReference"/>
        </w:rPr>
        <w:footnoteReference w:id="354"/>
      </w:r>
      <w:r w:rsidRPr="003F7CA5">
        <w:t xml:space="preserve"> Birchley notes that this latter result ‘potentially bears out the assertion by advocates of the harm threshold that clinicians use a family-facing approach that ill matches the best</w:t>
      </w:r>
      <w:r w:rsidRPr="00310133">
        <w:rPr>
          <w:sz w:val="24"/>
          <w:szCs w:val="24"/>
        </w:rPr>
        <w:t xml:space="preserve"> </w:t>
      </w:r>
      <w:r w:rsidRPr="00E8333D">
        <w:t>interests test’, because it allowed ‘limited trades against a child’s well-being to secure a parental benefit’.</w:t>
      </w:r>
      <w:r w:rsidRPr="00E8333D">
        <w:rPr>
          <w:rStyle w:val="FootnoteReference"/>
        </w:rPr>
        <w:footnoteReference w:id="355"/>
      </w:r>
      <w:r w:rsidRPr="00E8333D">
        <w:t xml:space="preserve"> Birchley suggests that ‘best for the family’ can also be conceptualised as a threshold focused on advancing parental autonomy, and the fact that support for this threshold was concentrated amongst clinicians ‘could be read to offer empirical support for the claim that the harm threshold is commonly used by clinicians in practice’.</w:t>
      </w:r>
      <w:r w:rsidRPr="00E8333D">
        <w:rPr>
          <w:rStyle w:val="FootnoteReference"/>
        </w:rPr>
        <w:footnoteReference w:id="356"/>
      </w:r>
      <w:r w:rsidRPr="00E8333D">
        <w:t xml:space="preserve"> </w:t>
      </w:r>
    </w:p>
    <w:p w:rsidR="00DE7724" w:rsidP="00DE7724" w:rsidRDefault="00DE7724" w14:paraId="0DB7F23E" w14:textId="77777777">
      <w:pPr>
        <w:pStyle w:val="ListParagraph"/>
        <w:ind w:left="502"/>
        <w:jc w:val="both"/>
      </w:pPr>
    </w:p>
    <w:p w:rsidRPr="00E8333D" w:rsidR="009A7CCC" w:rsidP="00C737BA" w:rsidRDefault="009275EB" w14:paraId="0116A687" w14:textId="4BFD6DA4">
      <w:pPr>
        <w:pStyle w:val="ListParagraph"/>
        <w:numPr>
          <w:ilvl w:val="0"/>
          <w:numId w:val="2"/>
        </w:numPr>
        <w:jc w:val="both"/>
      </w:pPr>
      <w:r w:rsidRPr="00E8333D">
        <w:t xml:space="preserve">Opponents claim that a change will amount to ‘no practical difference’ </w:t>
      </w:r>
      <w:r w:rsidRPr="00E8333D" w:rsidR="001E1A02">
        <w:rPr>
          <w:rStyle w:val="FootnoteReference"/>
        </w:rPr>
        <w:footnoteReference w:id="357"/>
      </w:r>
      <w:r w:rsidR="00581FA4">
        <w:t xml:space="preserve"> </w:t>
      </w:r>
      <w:r w:rsidRPr="00E8333D">
        <w:t>and any change will be merely semantic - ‘the harm threshold might essentially mean that business is carried on as usual’.</w:t>
      </w:r>
      <w:r w:rsidRPr="00E8333D">
        <w:rPr>
          <w:rStyle w:val="FootnoteReference"/>
        </w:rPr>
        <w:footnoteReference w:id="358"/>
      </w:r>
      <w:r w:rsidRPr="00E8333D">
        <w:t xml:space="preserve">  Yet those in favour claim that language is important</w:t>
      </w:r>
      <w:r w:rsidR="00804990">
        <w:t xml:space="preserve"> </w:t>
      </w:r>
      <w:r w:rsidRPr="00E8333D">
        <w:t>in ‘law’s role of signalling the boundaries of acceptable behaviour to the wider public. It would signal that society values and, except in exceptional cases, protects parental autonomy as a means to advance the welfare of children.’</w:t>
      </w:r>
      <w:r w:rsidRPr="00E8333D">
        <w:rPr>
          <w:rStyle w:val="FootnoteReference"/>
        </w:rPr>
        <w:footnoteReference w:id="359"/>
      </w:r>
    </w:p>
    <w:p w:rsidRPr="00E8333D" w:rsidR="003D56C1" w:rsidP="00215352" w:rsidRDefault="003D56C1" w14:paraId="5734DE56" w14:textId="77777777">
      <w:pPr>
        <w:jc w:val="both"/>
        <w:rPr>
          <w:i/>
          <w:iCs/>
          <w:color w:val="002060"/>
        </w:rPr>
      </w:pPr>
    </w:p>
    <w:p w:rsidRPr="007B3F91" w:rsidR="00EC6381" w:rsidP="00215352" w:rsidRDefault="009F2BB2" w14:paraId="40D48408" w14:textId="41F66965">
      <w:pPr>
        <w:jc w:val="both"/>
        <w:rPr>
          <w:i/>
          <w:iCs/>
          <w:color w:val="002060"/>
          <w:sz w:val="24"/>
          <w:szCs w:val="24"/>
        </w:rPr>
      </w:pPr>
      <w:r w:rsidRPr="007B3F91">
        <w:rPr>
          <w:i/>
          <w:iCs/>
          <w:color w:val="002060"/>
          <w:sz w:val="24"/>
          <w:szCs w:val="24"/>
        </w:rPr>
        <w:t>vii</w:t>
      </w:r>
      <w:r w:rsidRPr="007B3F91" w:rsidR="007300F3">
        <w:rPr>
          <w:i/>
          <w:iCs/>
          <w:color w:val="002060"/>
          <w:sz w:val="24"/>
          <w:szCs w:val="24"/>
        </w:rPr>
        <w:t>) Reinterpreting Best Interests</w:t>
      </w:r>
      <w:r w:rsidRPr="007B3F91">
        <w:rPr>
          <w:i/>
          <w:iCs/>
          <w:color w:val="002060"/>
          <w:sz w:val="24"/>
          <w:szCs w:val="24"/>
        </w:rPr>
        <w:t xml:space="preserve"> or other</w:t>
      </w:r>
      <w:r w:rsidRPr="007B3F91" w:rsidR="004C4639">
        <w:rPr>
          <w:i/>
          <w:iCs/>
          <w:color w:val="002060"/>
          <w:sz w:val="24"/>
          <w:szCs w:val="24"/>
        </w:rPr>
        <w:t xml:space="preserve"> possible</w:t>
      </w:r>
      <w:r w:rsidRPr="007B3F91">
        <w:rPr>
          <w:i/>
          <w:iCs/>
          <w:color w:val="002060"/>
          <w:sz w:val="24"/>
          <w:szCs w:val="24"/>
        </w:rPr>
        <w:t xml:space="preserve"> thresholds</w:t>
      </w:r>
    </w:p>
    <w:p w:rsidRPr="00206B7D" w:rsidR="00206B7D" w:rsidP="0072154C" w:rsidRDefault="005172C3" w14:paraId="41621A26" w14:textId="1442E92F">
      <w:pPr>
        <w:pStyle w:val="Normal0"/>
        <w:numPr>
          <w:ilvl w:val="0"/>
          <w:numId w:val="2"/>
        </w:numPr>
        <w:jc w:val="both"/>
        <w:rPr>
          <w:rFonts w:asciiTheme="minorHAnsi" w:hAnsiTheme="minorHAnsi" w:cstheme="minorHAnsi"/>
          <w:sz w:val="22"/>
          <w:szCs w:val="22"/>
        </w:rPr>
      </w:pPr>
      <w:r w:rsidRPr="090C4359">
        <w:rPr>
          <w:rFonts w:asciiTheme="minorHAnsi" w:hAnsiTheme="minorHAnsi" w:cstheme="minorBidi"/>
          <w:sz w:val="22"/>
          <w:szCs w:val="22"/>
        </w:rPr>
        <w:t>The most recent discussion has centred on the retention of best interests</w:t>
      </w:r>
      <w:r w:rsidRPr="090C4359" w:rsidR="000A58D8">
        <w:rPr>
          <w:rFonts w:asciiTheme="minorHAnsi" w:hAnsiTheme="minorHAnsi" w:cstheme="minorBidi"/>
          <w:sz w:val="22"/>
          <w:szCs w:val="22"/>
        </w:rPr>
        <w:t xml:space="preserve"> both as a threshold for intervention and as a measure to guide what is to be done once the threshold is crossed</w:t>
      </w:r>
      <w:r w:rsidRPr="090C4359" w:rsidR="008B0A59">
        <w:rPr>
          <w:rFonts w:asciiTheme="minorHAnsi" w:hAnsiTheme="minorHAnsi" w:cstheme="minorBidi"/>
          <w:sz w:val="22"/>
          <w:szCs w:val="22"/>
        </w:rPr>
        <w:t>,</w:t>
      </w:r>
      <w:r w:rsidRPr="090C4359" w:rsidR="00C003B9">
        <w:rPr>
          <w:rStyle w:val="FootnoteReference"/>
          <w:rFonts w:asciiTheme="minorHAnsi" w:hAnsiTheme="minorHAnsi" w:cstheme="minorBidi"/>
          <w:sz w:val="22"/>
          <w:szCs w:val="22"/>
        </w:rPr>
        <w:footnoteReference w:id="360"/>
      </w:r>
      <w:r w:rsidRPr="090C4359" w:rsidR="008E26BD">
        <w:rPr>
          <w:rFonts w:asciiTheme="minorHAnsi" w:hAnsiTheme="minorHAnsi" w:cstheme="minorBidi"/>
          <w:sz w:val="22"/>
          <w:szCs w:val="22"/>
        </w:rPr>
        <w:t xml:space="preserve"> although Bridgeman contends that best interests is a ‘titanic principle </w:t>
      </w:r>
      <w:r w:rsidRPr="090C4359" w:rsidR="00B1781F">
        <w:rPr>
          <w:rFonts w:asciiTheme="minorHAnsi" w:hAnsiTheme="minorHAnsi" w:cstheme="minorBidi"/>
          <w:sz w:val="22"/>
          <w:szCs w:val="22"/>
        </w:rPr>
        <w:t>that is inured to erosion in either courtroom or practice’.</w:t>
      </w:r>
      <w:r w:rsidRPr="090C4359" w:rsidR="00B1781F">
        <w:rPr>
          <w:rStyle w:val="FootnoteReference"/>
          <w:rFonts w:asciiTheme="minorHAnsi" w:hAnsiTheme="minorHAnsi" w:cstheme="minorBidi"/>
          <w:sz w:val="22"/>
          <w:szCs w:val="22"/>
        </w:rPr>
        <w:footnoteReference w:id="361"/>
      </w:r>
      <w:r w:rsidRPr="090C4359">
        <w:rPr>
          <w:rFonts w:asciiTheme="minorHAnsi" w:hAnsiTheme="minorHAnsi" w:cstheme="minorBidi"/>
          <w:sz w:val="22"/>
          <w:szCs w:val="22"/>
        </w:rPr>
        <w:t xml:space="preserve"> </w:t>
      </w:r>
      <w:r w:rsidRPr="090C4359" w:rsidR="0019113D">
        <w:rPr>
          <w:rFonts w:asciiTheme="minorHAnsi" w:hAnsiTheme="minorHAnsi" w:cstheme="minorBidi"/>
          <w:sz w:val="22"/>
          <w:szCs w:val="22"/>
        </w:rPr>
        <w:t>I</w:t>
      </w:r>
      <w:r w:rsidRPr="090C4359" w:rsidR="00376878">
        <w:rPr>
          <w:rFonts w:asciiTheme="minorHAnsi" w:hAnsiTheme="minorHAnsi" w:cstheme="minorBidi"/>
          <w:sz w:val="22"/>
          <w:szCs w:val="22"/>
        </w:rPr>
        <w:t xml:space="preserve">n the past, </w:t>
      </w:r>
      <w:r w:rsidRPr="090C4359" w:rsidR="009756A0">
        <w:rPr>
          <w:rFonts w:asciiTheme="minorHAnsi" w:hAnsiTheme="minorHAnsi" w:cstheme="minorBidi"/>
          <w:sz w:val="22"/>
          <w:szCs w:val="22"/>
        </w:rPr>
        <w:t>it has been</w:t>
      </w:r>
      <w:r w:rsidRPr="090C4359" w:rsidR="00E62184">
        <w:rPr>
          <w:rFonts w:asciiTheme="minorHAnsi" w:hAnsiTheme="minorHAnsi" w:cstheme="minorBidi"/>
          <w:sz w:val="22"/>
          <w:szCs w:val="22"/>
        </w:rPr>
        <w:t xml:space="preserve"> argued that</w:t>
      </w:r>
      <w:r w:rsidRPr="090C4359" w:rsidR="00376878">
        <w:rPr>
          <w:rFonts w:asciiTheme="minorHAnsi" w:hAnsiTheme="minorHAnsi" w:cstheme="minorBidi"/>
          <w:sz w:val="22"/>
          <w:szCs w:val="22"/>
        </w:rPr>
        <w:t xml:space="preserve"> </w:t>
      </w:r>
      <w:r w:rsidRPr="090C4359" w:rsidR="0014247A">
        <w:rPr>
          <w:rFonts w:asciiTheme="minorHAnsi" w:hAnsiTheme="minorHAnsi" w:cstheme="minorBidi"/>
          <w:sz w:val="22"/>
          <w:szCs w:val="22"/>
        </w:rPr>
        <w:t>use of</w:t>
      </w:r>
      <w:r w:rsidRPr="090C4359" w:rsidR="00376878">
        <w:rPr>
          <w:rFonts w:asciiTheme="minorHAnsi" w:hAnsiTheme="minorHAnsi" w:cstheme="minorBidi"/>
          <w:sz w:val="22"/>
          <w:szCs w:val="22"/>
        </w:rPr>
        <w:t xml:space="preserve"> best interests</w:t>
      </w:r>
      <w:r w:rsidRPr="090C4359" w:rsidR="0014247A">
        <w:rPr>
          <w:rFonts w:asciiTheme="minorHAnsi" w:hAnsiTheme="minorHAnsi" w:cstheme="minorBidi"/>
          <w:sz w:val="22"/>
          <w:szCs w:val="22"/>
        </w:rPr>
        <w:t xml:space="preserve"> by the courts</w:t>
      </w:r>
      <w:r w:rsidRPr="090C4359" w:rsidR="005F6127">
        <w:rPr>
          <w:rFonts w:asciiTheme="minorHAnsi" w:hAnsiTheme="minorHAnsi" w:cstheme="minorBidi"/>
          <w:sz w:val="22"/>
          <w:szCs w:val="22"/>
        </w:rPr>
        <w:t xml:space="preserve"> has been too</w:t>
      </w:r>
      <w:r w:rsidRPr="090C4359" w:rsidR="00DE5D37">
        <w:rPr>
          <w:rFonts w:asciiTheme="minorHAnsi" w:hAnsiTheme="minorHAnsi" w:cstheme="minorBidi"/>
          <w:sz w:val="22"/>
          <w:szCs w:val="22"/>
        </w:rPr>
        <w:t xml:space="preserve"> rigid</w:t>
      </w:r>
      <w:r w:rsidRPr="090C4359" w:rsidR="009756A0">
        <w:rPr>
          <w:rFonts w:asciiTheme="minorHAnsi" w:hAnsiTheme="minorHAnsi" w:cstheme="minorBidi"/>
          <w:sz w:val="22"/>
          <w:szCs w:val="22"/>
        </w:rPr>
        <w:t xml:space="preserve"> with its aim of finding the single</w:t>
      </w:r>
      <w:r w:rsidRPr="090C4359" w:rsidR="008A18B9">
        <w:rPr>
          <w:rFonts w:asciiTheme="minorHAnsi" w:hAnsiTheme="minorHAnsi" w:cstheme="minorBidi"/>
          <w:sz w:val="22"/>
          <w:szCs w:val="22"/>
        </w:rPr>
        <w:t xml:space="preserve"> objective</w:t>
      </w:r>
      <w:r w:rsidRPr="090C4359" w:rsidR="009756A0">
        <w:rPr>
          <w:rFonts w:asciiTheme="minorHAnsi" w:hAnsiTheme="minorHAnsi" w:cstheme="minorBidi"/>
          <w:sz w:val="22"/>
          <w:szCs w:val="22"/>
        </w:rPr>
        <w:t xml:space="preserve"> “best”  option</w:t>
      </w:r>
      <w:r w:rsidRPr="090C4359" w:rsidR="00E33EE5">
        <w:rPr>
          <w:rFonts w:asciiTheme="minorHAnsi" w:hAnsiTheme="minorHAnsi" w:cstheme="minorBidi"/>
          <w:sz w:val="22"/>
          <w:szCs w:val="22"/>
        </w:rPr>
        <w:t>, and</w:t>
      </w:r>
      <w:r w:rsidRPr="090C4359" w:rsidR="00EE0DC5">
        <w:rPr>
          <w:rFonts w:asciiTheme="minorHAnsi" w:hAnsiTheme="minorHAnsi" w:cstheme="minorBidi"/>
          <w:sz w:val="22"/>
          <w:szCs w:val="22"/>
        </w:rPr>
        <w:t xml:space="preserve"> in doing so was</w:t>
      </w:r>
      <w:r w:rsidRPr="090C4359" w:rsidR="00E33EE5">
        <w:rPr>
          <w:rFonts w:asciiTheme="minorHAnsi" w:hAnsiTheme="minorHAnsi" w:cstheme="minorBidi"/>
          <w:sz w:val="22"/>
          <w:szCs w:val="22"/>
        </w:rPr>
        <w:t xml:space="preserve"> </w:t>
      </w:r>
      <w:r w:rsidRPr="090C4359" w:rsidR="00DE5D37">
        <w:rPr>
          <w:rFonts w:asciiTheme="minorHAnsi" w:hAnsiTheme="minorHAnsi" w:cstheme="minorBidi"/>
          <w:sz w:val="22"/>
          <w:szCs w:val="22"/>
        </w:rPr>
        <w:t>too</w:t>
      </w:r>
      <w:r w:rsidRPr="090C4359" w:rsidR="005F6127">
        <w:rPr>
          <w:rFonts w:asciiTheme="minorHAnsi" w:hAnsiTheme="minorHAnsi" w:cstheme="minorBidi"/>
          <w:sz w:val="22"/>
          <w:szCs w:val="22"/>
        </w:rPr>
        <w:t xml:space="preserve"> focused on medical considerations</w:t>
      </w:r>
      <w:r w:rsidRPr="090C4359" w:rsidR="00A72F87">
        <w:rPr>
          <w:rStyle w:val="FootnoteReference"/>
          <w:rFonts w:asciiTheme="minorHAnsi" w:hAnsiTheme="minorHAnsi" w:cstheme="minorBidi"/>
          <w:sz w:val="22"/>
          <w:szCs w:val="22"/>
        </w:rPr>
        <w:footnoteReference w:id="362"/>
      </w:r>
      <w:r w:rsidRPr="090C4359" w:rsidR="005F6127">
        <w:rPr>
          <w:rFonts w:asciiTheme="minorHAnsi" w:hAnsiTheme="minorHAnsi" w:cstheme="minorBidi"/>
          <w:sz w:val="22"/>
          <w:szCs w:val="22"/>
        </w:rPr>
        <w:t xml:space="preserve"> and</w:t>
      </w:r>
      <w:r w:rsidRPr="090C4359" w:rsidR="001A2617">
        <w:rPr>
          <w:rFonts w:asciiTheme="minorHAnsi" w:hAnsiTheme="minorHAnsi" w:cstheme="minorBidi"/>
          <w:sz w:val="22"/>
          <w:szCs w:val="22"/>
        </w:rPr>
        <w:t xml:space="preserve"> </w:t>
      </w:r>
      <w:r w:rsidRPr="090C4359" w:rsidR="000818B7">
        <w:rPr>
          <w:rFonts w:asciiTheme="minorHAnsi" w:hAnsiTheme="minorHAnsi" w:cstheme="minorBidi"/>
          <w:sz w:val="22"/>
          <w:szCs w:val="22"/>
        </w:rPr>
        <w:t>in</w:t>
      </w:r>
      <w:r w:rsidRPr="090C4359" w:rsidR="001A2617">
        <w:rPr>
          <w:rFonts w:asciiTheme="minorHAnsi" w:hAnsiTheme="minorHAnsi" w:cstheme="minorBidi"/>
          <w:sz w:val="22"/>
          <w:szCs w:val="22"/>
        </w:rPr>
        <w:t>attenti</w:t>
      </w:r>
      <w:r w:rsidRPr="090C4359" w:rsidR="000818B7">
        <w:rPr>
          <w:rFonts w:asciiTheme="minorHAnsi" w:hAnsiTheme="minorHAnsi" w:cstheme="minorBidi"/>
          <w:sz w:val="22"/>
          <w:szCs w:val="22"/>
        </w:rPr>
        <w:t>ve</w:t>
      </w:r>
      <w:r w:rsidRPr="090C4359" w:rsidR="001A2617">
        <w:rPr>
          <w:rFonts w:asciiTheme="minorHAnsi" w:hAnsiTheme="minorHAnsi" w:cstheme="minorBidi"/>
          <w:sz w:val="22"/>
          <w:szCs w:val="22"/>
        </w:rPr>
        <w:t xml:space="preserve"> to relational interest</w:t>
      </w:r>
      <w:r w:rsidRPr="090C4359" w:rsidR="0019113D">
        <w:rPr>
          <w:rFonts w:asciiTheme="minorHAnsi" w:hAnsiTheme="minorHAnsi" w:cstheme="minorBidi"/>
          <w:sz w:val="22"/>
          <w:szCs w:val="22"/>
        </w:rPr>
        <w:t>s.</w:t>
      </w:r>
      <w:r w:rsidRPr="090C4359" w:rsidR="00946814">
        <w:rPr>
          <w:rStyle w:val="FootnoteReference"/>
          <w:rFonts w:asciiTheme="minorHAnsi" w:hAnsiTheme="minorHAnsi" w:cstheme="minorBidi"/>
          <w:sz w:val="22"/>
          <w:szCs w:val="22"/>
        </w:rPr>
        <w:footnoteReference w:id="363"/>
      </w:r>
      <w:r w:rsidRPr="090C4359" w:rsidR="00E33EE5">
        <w:rPr>
          <w:rFonts w:asciiTheme="minorHAnsi" w:hAnsiTheme="minorHAnsi" w:cstheme="minorBidi"/>
          <w:sz w:val="22"/>
          <w:szCs w:val="22"/>
        </w:rPr>
        <w:t xml:space="preserve"> Critics such as Wilkinson </w:t>
      </w:r>
      <w:r w:rsidRPr="090C4359" w:rsidR="00BD16BF">
        <w:rPr>
          <w:rFonts w:asciiTheme="minorHAnsi" w:hAnsiTheme="minorHAnsi" w:cstheme="minorBidi"/>
          <w:sz w:val="22"/>
          <w:szCs w:val="22"/>
        </w:rPr>
        <w:t>characterise</w:t>
      </w:r>
      <w:r w:rsidRPr="090C4359" w:rsidR="008159C1">
        <w:rPr>
          <w:rFonts w:asciiTheme="minorHAnsi" w:hAnsiTheme="minorHAnsi" w:cstheme="minorBidi"/>
          <w:sz w:val="22"/>
          <w:szCs w:val="22"/>
        </w:rPr>
        <w:t xml:space="preserve"> a binary approach as ‘hopelessly simplistic’ when it comes to </w:t>
      </w:r>
      <w:r w:rsidRPr="090C4359" w:rsidR="00CD58C3">
        <w:rPr>
          <w:rFonts w:asciiTheme="minorHAnsi" w:hAnsiTheme="minorHAnsi" w:cstheme="minorBidi"/>
          <w:sz w:val="22"/>
          <w:szCs w:val="22"/>
        </w:rPr>
        <w:t>disputes about medical care.</w:t>
      </w:r>
      <w:r w:rsidRPr="090C4359" w:rsidR="00CD58C3">
        <w:rPr>
          <w:rStyle w:val="FootnoteReference"/>
          <w:rFonts w:asciiTheme="minorHAnsi" w:hAnsiTheme="minorHAnsi" w:cstheme="minorBidi"/>
          <w:sz w:val="22"/>
          <w:szCs w:val="22"/>
        </w:rPr>
        <w:footnoteReference w:id="364"/>
      </w:r>
      <w:r w:rsidRPr="090C4359" w:rsidR="001A2617">
        <w:rPr>
          <w:rFonts w:asciiTheme="minorHAnsi" w:hAnsiTheme="minorHAnsi" w:cstheme="minorBidi"/>
          <w:sz w:val="22"/>
          <w:szCs w:val="22"/>
        </w:rPr>
        <w:t xml:space="preserve"> </w:t>
      </w:r>
      <w:r w:rsidRPr="090C4359" w:rsidR="0019113D">
        <w:rPr>
          <w:rFonts w:asciiTheme="minorHAnsi" w:hAnsiTheme="minorHAnsi" w:cstheme="minorBidi"/>
          <w:sz w:val="22"/>
          <w:szCs w:val="22"/>
        </w:rPr>
        <w:t xml:space="preserve"> However, </w:t>
      </w:r>
      <w:r w:rsidRPr="090C4359" w:rsidR="001A2617">
        <w:rPr>
          <w:rFonts w:asciiTheme="minorHAnsi" w:hAnsiTheme="minorHAnsi" w:cstheme="minorBidi"/>
          <w:sz w:val="22"/>
          <w:szCs w:val="22"/>
        </w:rPr>
        <w:t>B</w:t>
      </w:r>
      <w:r w:rsidRPr="090C4359" w:rsidR="006E4B2F">
        <w:rPr>
          <w:rFonts w:asciiTheme="minorHAnsi" w:hAnsiTheme="minorHAnsi" w:cstheme="minorBidi"/>
          <w:sz w:val="22"/>
          <w:szCs w:val="22"/>
        </w:rPr>
        <w:t>ester</w:t>
      </w:r>
      <w:r w:rsidRPr="090C4359" w:rsidR="001A2617">
        <w:rPr>
          <w:rFonts w:asciiTheme="minorHAnsi" w:hAnsiTheme="minorHAnsi" w:cstheme="minorBidi"/>
          <w:sz w:val="22"/>
          <w:szCs w:val="22"/>
        </w:rPr>
        <w:t xml:space="preserve"> </w:t>
      </w:r>
      <w:r w:rsidRPr="090C4359" w:rsidR="00EF0EAC">
        <w:rPr>
          <w:rFonts w:asciiTheme="minorHAnsi" w:hAnsiTheme="minorHAnsi" w:cstheme="minorBidi"/>
          <w:sz w:val="22"/>
          <w:szCs w:val="22"/>
        </w:rPr>
        <w:t>claims</w:t>
      </w:r>
      <w:r w:rsidRPr="090C4359" w:rsidR="00645EF6">
        <w:rPr>
          <w:rFonts w:asciiTheme="minorHAnsi" w:hAnsiTheme="minorHAnsi" w:cstheme="minorBidi"/>
          <w:sz w:val="22"/>
          <w:szCs w:val="22"/>
        </w:rPr>
        <w:t xml:space="preserve"> that best interests</w:t>
      </w:r>
      <w:r w:rsidRPr="090C4359" w:rsidR="00645EF6">
        <w:rPr>
          <w:rFonts w:asciiTheme="minorHAnsi" w:hAnsiTheme="minorHAnsi" w:cstheme="minorBidi"/>
          <w:i/>
          <w:iCs/>
          <w:sz w:val="22"/>
          <w:szCs w:val="22"/>
        </w:rPr>
        <w:t xml:space="preserve"> is</w:t>
      </w:r>
      <w:r w:rsidRPr="090C4359" w:rsidR="00645EF6">
        <w:rPr>
          <w:rFonts w:asciiTheme="minorHAnsi" w:hAnsiTheme="minorHAnsi" w:cstheme="minorBidi"/>
          <w:sz w:val="22"/>
          <w:szCs w:val="22"/>
        </w:rPr>
        <w:t xml:space="preserve"> a flexibl</w:t>
      </w:r>
      <w:r w:rsidRPr="090C4359" w:rsidR="00A76B03">
        <w:rPr>
          <w:rFonts w:asciiTheme="minorHAnsi" w:hAnsiTheme="minorHAnsi" w:cstheme="minorBidi"/>
          <w:sz w:val="22"/>
          <w:szCs w:val="22"/>
        </w:rPr>
        <w:t xml:space="preserve">e test, </w:t>
      </w:r>
      <w:r w:rsidRPr="090C4359" w:rsidR="00A76B03">
        <w:rPr>
          <w:rStyle w:val="FootnoteReference"/>
          <w:rFonts w:asciiTheme="minorHAnsi" w:hAnsiTheme="minorHAnsi" w:cstheme="minorBidi"/>
          <w:sz w:val="22"/>
          <w:szCs w:val="22"/>
        </w:rPr>
        <w:footnoteReference w:id="365"/>
      </w:r>
      <w:r w:rsidRPr="090C4359" w:rsidR="0019113D">
        <w:rPr>
          <w:rFonts w:asciiTheme="minorHAnsi" w:hAnsiTheme="minorHAnsi" w:cstheme="minorBidi"/>
          <w:sz w:val="22"/>
          <w:szCs w:val="22"/>
        </w:rPr>
        <w:t xml:space="preserve"> </w:t>
      </w:r>
      <w:r w:rsidRPr="090C4359" w:rsidR="006E4B2F">
        <w:rPr>
          <w:rFonts w:asciiTheme="minorHAnsi" w:hAnsiTheme="minorHAnsi" w:cstheme="minorBidi"/>
          <w:sz w:val="22"/>
          <w:szCs w:val="22"/>
        </w:rPr>
        <w:t xml:space="preserve">whilst Benbow </w:t>
      </w:r>
      <w:r w:rsidRPr="090C4359" w:rsidR="00A76B03">
        <w:rPr>
          <w:rFonts w:asciiTheme="minorHAnsi" w:hAnsiTheme="minorHAnsi" w:cstheme="minorBidi"/>
          <w:sz w:val="22"/>
          <w:szCs w:val="22"/>
        </w:rPr>
        <w:t>states that it is</w:t>
      </w:r>
      <w:r w:rsidRPr="090C4359" w:rsidR="001A37FA">
        <w:rPr>
          <w:rFonts w:asciiTheme="minorHAnsi" w:hAnsiTheme="minorHAnsi" w:cstheme="minorBidi"/>
          <w:sz w:val="22"/>
          <w:szCs w:val="22"/>
        </w:rPr>
        <w:t xml:space="preserve"> not </w:t>
      </w:r>
      <w:r w:rsidRPr="090C4359" w:rsidR="00A27DAE">
        <w:rPr>
          <w:rFonts w:asciiTheme="minorHAnsi" w:hAnsiTheme="minorHAnsi" w:cstheme="minorBidi"/>
          <w:sz w:val="22"/>
          <w:szCs w:val="22"/>
        </w:rPr>
        <w:t>designed merely to override the wishes of the parents</w:t>
      </w:r>
      <w:r w:rsidRPr="090C4359" w:rsidR="008364A2">
        <w:rPr>
          <w:rFonts w:asciiTheme="minorHAnsi" w:hAnsiTheme="minorHAnsi" w:cstheme="minorBidi"/>
          <w:sz w:val="22"/>
          <w:szCs w:val="22"/>
        </w:rPr>
        <w:t>,</w:t>
      </w:r>
      <w:r w:rsidRPr="090C4359" w:rsidR="00A27DAE">
        <w:rPr>
          <w:rFonts w:asciiTheme="minorHAnsi" w:hAnsiTheme="minorHAnsi" w:cstheme="minorBidi"/>
          <w:sz w:val="22"/>
          <w:szCs w:val="22"/>
        </w:rPr>
        <w:t xml:space="preserve"> and</w:t>
      </w:r>
      <w:r w:rsidRPr="090C4359" w:rsidR="0019113D">
        <w:rPr>
          <w:rFonts w:asciiTheme="minorHAnsi" w:hAnsiTheme="minorHAnsi" w:cstheme="minorBidi"/>
          <w:sz w:val="22"/>
          <w:szCs w:val="22"/>
        </w:rPr>
        <w:t xml:space="preserve"> in cases like </w:t>
      </w:r>
      <w:r w:rsidRPr="090C4359" w:rsidR="0019113D">
        <w:rPr>
          <w:rFonts w:asciiTheme="minorHAnsi" w:hAnsiTheme="minorHAnsi" w:cstheme="minorBidi"/>
          <w:i/>
          <w:iCs/>
          <w:sz w:val="22"/>
          <w:szCs w:val="22"/>
        </w:rPr>
        <w:t>Raqeeb</w:t>
      </w:r>
      <w:r w:rsidRPr="090C4359" w:rsidR="0019113D">
        <w:rPr>
          <w:rFonts w:asciiTheme="minorHAnsi" w:hAnsiTheme="minorHAnsi" w:cstheme="minorBidi"/>
          <w:sz w:val="22"/>
          <w:szCs w:val="22"/>
        </w:rPr>
        <w:t xml:space="preserve"> where there</w:t>
      </w:r>
      <w:r w:rsidRPr="090C4359" w:rsidR="00F74C63">
        <w:rPr>
          <w:rFonts w:asciiTheme="minorHAnsi" w:hAnsiTheme="minorHAnsi" w:cstheme="minorBidi"/>
          <w:sz w:val="22"/>
          <w:szCs w:val="22"/>
        </w:rPr>
        <w:t xml:space="preserve"> is no clear evidence of pain and suffering</w:t>
      </w:r>
      <w:r w:rsidRPr="090C4359" w:rsidR="0063336B">
        <w:rPr>
          <w:rFonts w:asciiTheme="minorHAnsi" w:hAnsiTheme="minorHAnsi" w:cstheme="minorBidi"/>
          <w:sz w:val="22"/>
          <w:szCs w:val="22"/>
        </w:rPr>
        <w:t>, the test g</w:t>
      </w:r>
      <w:r w:rsidRPr="090C4359" w:rsidR="00A27DAE">
        <w:rPr>
          <w:rFonts w:asciiTheme="minorHAnsi" w:hAnsiTheme="minorHAnsi" w:cstheme="minorBidi"/>
          <w:sz w:val="22"/>
          <w:szCs w:val="22"/>
        </w:rPr>
        <w:t>ives</w:t>
      </w:r>
      <w:r w:rsidRPr="090C4359" w:rsidR="0063336B">
        <w:rPr>
          <w:rFonts w:asciiTheme="minorHAnsi" w:hAnsiTheme="minorHAnsi" w:cstheme="minorBidi"/>
          <w:sz w:val="22"/>
          <w:szCs w:val="22"/>
        </w:rPr>
        <w:t xml:space="preserve"> more weight to ‘subjective interests’</w:t>
      </w:r>
      <w:r w:rsidRPr="090C4359" w:rsidR="00EA0422">
        <w:rPr>
          <w:rFonts w:asciiTheme="minorHAnsi" w:hAnsiTheme="minorHAnsi" w:cstheme="minorBidi"/>
          <w:sz w:val="22"/>
          <w:szCs w:val="22"/>
        </w:rPr>
        <w:t>.</w:t>
      </w:r>
      <w:r w:rsidRPr="090C4359" w:rsidR="00EA0422">
        <w:rPr>
          <w:rStyle w:val="FootnoteReference"/>
          <w:rFonts w:asciiTheme="minorHAnsi" w:hAnsiTheme="minorHAnsi" w:cstheme="minorBidi"/>
          <w:sz w:val="22"/>
          <w:szCs w:val="22"/>
        </w:rPr>
        <w:footnoteReference w:id="366"/>
      </w:r>
      <w:r w:rsidRPr="090C4359" w:rsidR="004834E4">
        <w:rPr>
          <w:rFonts w:asciiTheme="minorHAnsi" w:hAnsiTheme="minorHAnsi" w:cstheme="minorBidi"/>
          <w:sz w:val="22"/>
          <w:szCs w:val="22"/>
        </w:rPr>
        <w:t xml:space="preserve"> </w:t>
      </w:r>
      <w:r w:rsidRPr="090C4359" w:rsidR="009F1581">
        <w:rPr>
          <w:rFonts w:asciiTheme="minorHAnsi" w:hAnsiTheme="minorHAnsi" w:cstheme="minorBidi"/>
          <w:sz w:val="22"/>
          <w:szCs w:val="22"/>
        </w:rPr>
        <w:t xml:space="preserve">Auckland and Goold agree, noting that in </w:t>
      </w:r>
      <w:r w:rsidRPr="090C4359" w:rsidR="009F1581">
        <w:rPr>
          <w:rFonts w:asciiTheme="minorHAnsi" w:hAnsiTheme="minorHAnsi" w:cstheme="minorBidi"/>
          <w:i/>
          <w:iCs/>
          <w:sz w:val="22"/>
          <w:szCs w:val="22"/>
        </w:rPr>
        <w:t>Raqeeb</w:t>
      </w:r>
      <w:r w:rsidRPr="090C4359" w:rsidR="0059067F">
        <w:rPr>
          <w:rFonts w:asciiTheme="minorHAnsi" w:hAnsiTheme="minorHAnsi" w:cstheme="minorBidi"/>
          <w:sz w:val="22"/>
          <w:szCs w:val="22"/>
        </w:rPr>
        <w:t xml:space="preserve"> MacDonald J displayed sensitivity and transparency in </w:t>
      </w:r>
      <w:r w:rsidRPr="090C4359" w:rsidR="00304A3C">
        <w:rPr>
          <w:rFonts w:asciiTheme="minorHAnsi" w:hAnsiTheme="minorHAnsi" w:cstheme="minorBidi"/>
          <w:sz w:val="22"/>
          <w:szCs w:val="22"/>
        </w:rPr>
        <w:t>his detailed balancing of the relevant factors</w:t>
      </w:r>
      <w:r w:rsidRPr="090C4359" w:rsidR="004108B5">
        <w:rPr>
          <w:rFonts w:asciiTheme="minorHAnsi" w:hAnsiTheme="minorHAnsi" w:cstheme="minorBidi"/>
          <w:sz w:val="22"/>
          <w:szCs w:val="22"/>
        </w:rPr>
        <w:t>, including the cultural and religious values of the parents and the concerns of the hospital</w:t>
      </w:r>
      <w:r w:rsidRPr="090C4359" w:rsidR="00702FEE">
        <w:rPr>
          <w:rFonts w:asciiTheme="minorHAnsi" w:hAnsiTheme="minorHAnsi" w:cstheme="minorBidi"/>
          <w:sz w:val="22"/>
          <w:szCs w:val="22"/>
        </w:rPr>
        <w:t xml:space="preserve"> and the medical views of the Italian clin</w:t>
      </w:r>
      <w:r w:rsidRPr="090C4359" w:rsidR="002E78B9">
        <w:rPr>
          <w:rFonts w:asciiTheme="minorHAnsi" w:hAnsiTheme="minorHAnsi" w:cstheme="minorBidi"/>
          <w:sz w:val="22"/>
          <w:szCs w:val="22"/>
        </w:rPr>
        <w:t>i</w:t>
      </w:r>
      <w:r w:rsidRPr="090C4359" w:rsidR="00702FEE">
        <w:rPr>
          <w:rFonts w:asciiTheme="minorHAnsi" w:hAnsiTheme="minorHAnsi" w:cstheme="minorBidi"/>
          <w:sz w:val="22"/>
          <w:szCs w:val="22"/>
        </w:rPr>
        <w:t>cians.</w:t>
      </w:r>
      <w:r w:rsidRPr="090C4359" w:rsidR="004108B5">
        <w:rPr>
          <w:rFonts w:asciiTheme="minorHAnsi" w:hAnsiTheme="minorHAnsi" w:cstheme="minorBidi"/>
          <w:sz w:val="22"/>
          <w:szCs w:val="22"/>
        </w:rPr>
        <w:t xml:space="preserve"> But they fear that this kind of approach is the exception not the rule.</w:t>
      </w:r>
      <w:r w:rsidRPr="090C4359" w:rsidR="004108B5">
        <w:rPr>
          <w:rStyle w:val="FootnoteReference"/>
          <w:rFonts w:asciiTheme="minorHAnsi" w:hAnsiTheme="minorHAnsi" w:cstheme="minorBidi"/>
          <w:sz w:val="22"/>
          <w:szCs w:val="22"/>
        </w:rPr>
        <w:footnoteReference w:id="367"/>
      </w:r>
      <w:r w:rsidRPr="090C4359" w:rsidR="00206B7D">
        <w:rPr>
          <w:rFonts w:asciiTheme="minorHAnsi" w:hAnsiTheme="minorHAnsi" w:cstheme="minorBidi"/>
          <w:sz w:val="22"/>
          <w:szCs w:val="22"/>
        </w:rPr>
        <w:t xml:space="preserve"> </w:t>
      </w:r>
      <w:r w:rsidRPr="090C4359" w:rsidR="003B2C28">
        <w:rPr>
          <w:rFonts w:asciiTheme="minorHAnsi" w:hAnsiTheme="minorHAnsi" w:cstheme="minorBidi"/>
          <w:sz w:val="22"/>
          <w:szCs w:val="22"/>
        </w:rPr>
        <w:t xml:space="preserve"> They observe that ‘[t]</w:t>
      </w:r>
      <w:r w:rsidRPr="090C4359" w:rsidR="00206B7D">
        <w:rPr>
          <w:rFonts w:asciiTheme="minorHAnsi" w:hAnsiTheme="minorHAnsi" w:cstheme="minorBidi"/>
          <w:sz w:val="22"/>
          <w:szCs w:val="22"/>
        </w:rPr>
        <w:t xml:space="preserve">he decision in </w:t>
      </w:r>
      <w:r w:rsidRPr="090C4359" w:rsidR="00206B7D">
        <w:rPr>
          <w:rFonts w:asciiTheme="minorHAnsi" w:hAnsiTheme="minorHAnsi" w:cstheme="minorBidi"/>
          <w:i/>
          <w:iCs/>
          <w:sz w:val="22"/>
          <w:szCs w:val="22"/>
        </w:rPr>
        <w:t>Raqeeb</w:t>
      </w:r>
      <w:r w:rsidRPr="090C4359" w:rsidR="00206B7D">
        <w:rPr>
          <w:rFonts w:asciiTheme="minorHAnsi" w:hAnsiTheme="minorHAnsi" w:cstheme="minorBidi"/>
          <w:sz w:val="22"/>
          <w:szCs w:val="22"/>
        </w:rPr>
        <w:t xml:space="preserve"> thus places substantial weight on the way in which the decision-maker applies the ‘objective’ best interests test, and the extent to which they accept (and attempt to capture within it) the validity of different medical, ethical and legal systems. The difficulties in doing so were recognised by MacDonald J, who concluded</w:t>
      </w:r>
      <w:r w:rsidRPr="090C4359" w:rsidR="00832C6E">
        <w:rPr>
          <w:rFonts w:asciiTheme="minorHAnsi" w:hAnsiTheme="minorHAnsi" w:cstheme="minorBidi"/>
          <w:sz w:val="22"/>
          <w:szCs w:val="22"/>
        </w:rPr>
        <w:t xml:space="preserve"> that</w:t>
      </w:r>
      <w:r w:rsidRPr="090C4359" w:rsidR="00206B7D">
        <w:rPr>
          <w:rFonts w:asciiTheme="minorHAnsi" w:hAnsiTheme="minorHAnsi" w:cstheme="minorBidi"/>
          <w:sz w:val="22"/>
          <w:szCs w:val="22"/>
        </w:rPr>
        <w:t xml:space="preserve"> </w:t>
      </w:r>
      <w:r w:rsidRPr="090C4359" w:rsidR="00ED6E32">
        <w:rPr>
          <w:rFonts w:asciiTheme="minorHAnsi" w:hAnsiTheme="minorHAnsi" w:cstheme="minorBidi"/>
          <w:sz w:val="22"/>
          <w:szCs w:val="22"/>
        </w:rPr>
        <w:t>(…)</w:t>
      </w:r>
      <w:r w:rsidRPr="090C4359" w:rsidR="00206B7D">
        <w:rPr>
          <w:rFonts w:asciiTheme="minorHAnsi" w:hAnsiTheme="minorHAnsi" w:cstheme="minorBidi"/>
          <w:sz w:val="22"/>
          <w:szCs w:val="22"/>
        </w:rPr>
        <w:t xml:space="preserve">the ‘objective best interests test’ can be put </w:t>
      </w:r>
      <w:r w:rsidRPr="090C4359" w:rsidR="00ED6E32">
        <w:rPr>
          <w:rFonts w:asciiTheme="minorHAnsi" w:hAnsiTheme="minorHAnsi" w:cstheme="minorBidi"/>
          <w:sz w:val="22"/>
          <w:szCs w:val="22"/>
        </w:rPr>
        <w:t>“</w:t>
      </w:r>
      <w:r w:rsidRPr="090C4359" w:rsidR="00206B7D">
        <w:rPr>
          <w:rFonts w:asciiTheme="minorHAnsi" w:hAnsiTheme="minorHAnsi" w:cstheme="minorBidi"/>
          <w:sz w:val="22"/>
          <w:szCs w:val="22"/>
        </w:rPr>
        <w:t>under some stress</w:t>
      </w:r>
      <w:r w:rsidRPr="090C4359" w:rsidR="00ED6E32">
        <w:rPr>
          <w:rFonts w:asciiTheme="minorHAnsi" w:hAnsiTheme="minorHAnsi" w:cstheme="minorBidi"/>
          <w:sz w:val="22"/>
          <w:szCs w:val="22"/>
        </w:rPr>
        <w:t>”.</w:t>
      </w:r>
      <w:r w:rsidRPr="090C4359" w:rsidR="00ED6E32">
        <w:rPr>
          <w:rStyle w:val="FootnoteReference"/>
          <w:rFonts w:asciiTheme="minorHAnsi" w:hAnsiTheme="minorHAnsi" w:cstheme="minorBidi"/>
          <w:sz w:val="22"/>
          <w:szCs w:val="22"/>
        </w:rPr>
        <w:footnoteReference w:id="368"/>
      </w:r>
    </w:p>
    <w:p w:rsidRPr="000467F8" w:rsidR="00E55808" w:rsidP="00A047FA" w:rsidRDefault="00E55808" w14:paraId="061561D8" w14:textId="77777777">
      <w:pPr>
        <w:pStyle w:val="Normal0"/>
        <w:rPr>
          <w:rFonts w:asciiTheme="minorHAnsi" w:hAnsiTheme="minorHAnsi" w:cstheme="minorHAnsi"/>
          <w:sz w:val="22"/>
          <w:szCs w:val="22"/>
        </w:rPr>
      </w:pPr>
    </w:p>
    <w:p w:rsidRPr="00763E94" w:rsidR="00502582" w:rsidP="0072154C" w:rsidRDefault="0014247A" w14:paraId="2F24CA18" w14:textId="41579442">
      <w:pPr>
        <w:pStyle w:val="Normal0"/>
        <w:numPr>
          <w:ilvl w:val="0"/>
          <w:numId w:val="2"/>
        </w:numPr>
        <w:jc w:val="both"/>
        <w:rPr>
          <w:rFonts w:asciiTheme="minorHAnsi" w:hAnsiTheme="minorHAnsi" w:cstheme="minorHAnsi"/>
          <w:sz w:val="22"/>
          <w:szCs w:val="22"/>
        </w:rPr>
      </w:pPr>
      <w:r w:rsidRPr="090C4359">
        <w:rPr>
          <w:rFonts w:asciiTheme="minorHAnsi" w:hAnsiTheme="minorHAnsi" w:cstheme="minorBidi"/>
          <w:sz w:val="22"/>
          <w:szCs w:val="22"/>
        </w:rPr>
        <w:t xml:space="preserve">In contrast, </w:t>
      </w:r>
      <w:r w:rsidRPr="090C4359" w:rsidR="00565DBB">
        <w:rPr>
          <w:rFonts w:asciiTheme="minorHAnsi" w:hAnsiTheme="minorHAnsi" w:cstheme="minorBidi"/>
          <w:sz w:val="22"/>
          <w:szCs w:val="22"/>
        </w:rPr>
        <w:t>the finding in Birchley’s</w:t>
      </w:r>
      <w:r w:rsidRPr="090C4359">
        <w:rPr>
          <w:rFonts w:asciiTheme="minorHAnsi" w:hAnsiTheme="minorHAnsi" w:cstheme="minorBidi"/>
          <w:sz w:val="22"/>
          <w:szCs w:val="22"/>
        </w:rPr>
        <w:t xml:space="preserve"> </w:t>
      </w:r>
      <w:r w:rsidRPr="090C4359" w:rsidR="00565DBB">
        <w:rPr>
          <w:rFonts w:asciiTheme="minorHAnsi" w:hAnsiTheme="minorHAnsi" w:cstheme="minorBidi"/>
          <w:sz w:val="22"/>
          <w:szCs w:val="22"/>
        </w:rPr>
        <w:t xml:space="preserve">study that in practice </w:t>
      </w:r>
      <w:r w:rsidRPr="090C4359" w:rsidR="00973352">
        <w:rPr>
          <w:rFonts w:asciiTheme="minorHAnsi" w:hAnsiTheme="minorHAnsi" w:cstheme="minorBidi"/>
          <w:sz w:val="22"/>
          <w:szCs w:val="22"/>
        </w:rPr>
        <w:t xml:space="preserve">clinicians most commonly </w:t>
      </w:r>
      <w:r w:rsidRPr="090C4359" w:rsidR="00F03E60">
        <w:rPr>
          <w:rFonts w:asciiTheme="minorHAnsi" w:hAnsiTheme="minorHAnsi" w:cstheme="minorBidi"/>
          <w:sz w:val="22"/>
          <w:szCs w:val="22"/>
        </w:rPr>
        <w:t>use what is</w:t>
      </w:r>
      <w:r w:rsidRPr="090C4359" w:rsidR="00973352">
        <w:rPr>
          <w:rFonts w:asciiTheme="minorHAnsi" w:hAnsiTheme="minorHAnsi" w:cstheme="minorBidi"/>
          <w:sz w:val="22"/>
          <w:szCs w:val="22"/>
        </w:rPr>
        <w:t xml:space="preserve"> </w:t>
      </w:r>
      <w:r w:rsidRPr="090C4359" w:rsidR="00623FD0">
        <w:rPr>
          <w:rFonts w:asciiTheme="minorHAnsi" w:hAnsiTheme="minorHAnsi" w:cstheme="minorBidi"/>
          <w:sz w:val="22"/>
          <w:szCs w:val="22"/>
        </w:rPr>
        <w:t>‘best for</w:t>
      </w:r>
      <w:r w:rsidRPr="090C4359" w:rsidR="001F7C3B">
        <w:rPr>
          <w:rFonts w:asciiTheme="minorHAnsi" w:hAnsiTheme="minorHAnsi" w:cstheme="minorBidi"/>
          <w:sz w:val="22"/>
          <w:szCs w:val="22"/>
        </w:rPr>
        <w:t xml:space="preserve"> the family</w:t>
      </w:r>
      <w:r w:rsidRPr="090C4359" w:rsidR="00A84A6C">
        <w:rPr>
          <w:rFonts w:asciiTheme="minorHAnsi" w:hAnsiTheme="minorHAnsi" w:cstheme="minorBidi"/>
          <w:sz w:val="22"/>
          <w:szCs w:val="22"/>
        </w:rPr>
        <w:t>’</w:t>
      </w:r>
      <w:r w:rsidRPr="090C4359" w:rsidR="00F03E60">
        <w:rPr>
          <w:rFonts w:asciiTheme="minorHAnsi" w:hAnsiTheme="minorHAnsi" w:cstheme="minorBidi"/>
          <w:sz w:val="22"/>
          <w:szCs w:val="22"/>
        </w:rPr>
        <w:t xml:space="preserve"> as their standard</w:t>
      </w:r>
      <w:r w:rsidRPr="090C4359" w:rsidR="000B4BE6">
        <w:rPr>
          <w:rStyle w:val="FootnoteReference"/>
          <w:rFonts w:asciiTheme="minorHAnsi" w:hAnsiTheme="minorHAnsi" w:cstheme="minorBidi"/>
          <w:sz w:val="22"/>
          <w:szCs w:val="22"/>
        </w:rPr>
        <w:footnoteReference w:id="369"/>
      </w:r>
      <w:r w:rsidRPr="090C4359" w:rsidR="00A84A6C">
        <w:rPr>
          <w:rFonts w:asciiTheme="minorHAnsi" w:hAnsiTheme="minorHAnsi" w:cstheme="minorBidi"/>
          <w:sz w:val="22"/>
          <w:szCs w:val="22"/>
        </w:rPr>
        <w:t xml:space="preserve"> rather than the </w:t>
      </w:r>
      <w:r w:rsidRPr="090C4359" w:rsidR="001636EE">
        <w:rPr>
          <w:rFonts w:asciiTheme="minorHAnsi" w:hAnsiTheme="minorHAnsi" w:cstheme="minorBidi"/>
          <w:sz w:val="22"/>
          <w:szCs w:val="22"/>
        </w:rPr>
        <w:t>welfare of the individual child</w:t>
      </w:r>
      <w:r w:rsidRPr="090C4359" w:rsidR="00B8389D">
        <w:rPr>
          <w:rFonts w:asciiTheme="minorHAnsi" w:hAnsiTheme="minorHAnsi" w:cstheme="minorBidi"/>
          <w:sz w:val="22"/>
          <w:szCs w:val="22"/>
        </w:rPr>
        <w:t>, meant</w:t>
      </w:r>
      <w:r w:rsidRPr="090C4359" w:rsidR="001636EE">
        <w:rPr>
          <w:rFonts w:asciiTheme="minorHAnsi" w:hAnsiTheme="minorHAnsi" w:cstheme="minorBidi"/>
          <w:sz w:val="22"/>
          <w:szCs w:val="22"/>
        </w:rPr>
        <w:t xml:space="preserve"> </w:t>
      </w:r>
      <w:r w:rsidRPr="090C4359" w:rsidR="008F1664">
        <w:rPr>
          <w:rFonts w:asciiTheme="minorHAnsi" w:hAnsiTheme="minorHAnsi" w:cstheme="minorBidi"/>
          <w:sz w:val="22"/>
          <w:szCs w:val="22"/>
        </w:rPr>
        <w:t xml:space="preserve"> that good care</w:t>
      </w:r>
      <w:r w:rsidRPr="090C4359" w:rsidR="001636EE">
        <w:rPr>
          <w:rFonts w:asciiTheme="minorHAnsi" w:hAnsiTheme="minorHAnsi" w:cstheme="minorBidi"/>
          <w:sz w:val="22"/>
          <w:szCs w:val="22"/>
        </w:rPr>
        <w:t xml:space="preserve"> might</w:t>
      </w:r>
      <w:r w:rsidRPr="090C4359" w:rsidR="00821CD7">
        <w:rPr>
          <w:rFonts w:asciiTheme="minorHAnsi" w:hAnsiTheme="minorHAnsi" w:cstheme="minorBidi"/>
          <w:sz w:val="22"/>
          <w:szCs w:val="22"/>
        </w:rPr>
        <w:t xml:space="preserve"> accordingly</w:t>
      </w:r>
      <w:r w:rsidRPr="090C4359" w:rsidR="001636EE">
        <w:rPr>
          <w:rFonts w:asciiTheme="minorHAnsi" w:hAnsiTheme="minorHAnsi" w:cstheme="minorBidi"/>
          <w:sz w:val="22"/>
          <w:szCs w:val="22"/>
        </w:rPr>
        <w:t xml:space="preserve"> entail a re-calibration</w:t>
      </w:r>
      <w:r w:rsidRPr="090C4359" w:rsidR="00287744">
        <w:rPr>
          <w:rFonts w:asciiTheme="minorHAnsi" w:hAnsiTheme="minorHAnsi" w:cstheme="minorBidi"/>
          <w:sz w:val="22"/>
          <w:szCs w:val="22"/>
        </w:rPr>
        <w:t xml:space="preserve"> to</w:t>
      </w:r>
      <w:r w:rsidRPr="090C4359" w:rsidR="005C05B0">
        <w:rPr>
          <w:rFonts w:asciiTheme="minorHAnsi" w:hAnsiTheme="minorHAnsi" w:cstheme="minorBidi"/>
          <w:sz w:val="22"/>
          <w:szCs w:val="22"/>
        </w:rPr>
        <w:t xml:space="preserve"> </w:t>
      </w:r>
      <w:r w:rsidRPr="090C4359" w:rsidR="00287744">
        <w:rPr>
          <w:rFonts w:asciiTheme="minorHAnsi" w:hAnsiTheme="minorHAnsi" w:cstheme="minorBidi"/>
          <w:sz w:val="22"/>
          <w:szCs w:val="22"/>
        </w:rPr>
        <w:t>‘</w:t>
      </w:r>
      <w:r w:rsidRPr="090C4359" w:rsidR="008F1664">
        <w:rPr>
          <w:rFonts w:asciiTheme="minorHAnsi" w:hAnsiTheme="minorHAnsi" w:cstheme="minorBidi"/>
          <w:sz w:val="22"/>
          <w:szCs w:val="22"/>
        </w:rPr>
        <w:t>consider the child in isolation as well as within a family unit, and that one should not automatically assume that children will share their parents’ values.’</w:t>
      </w:r>
      <w:r w:rsidRPr="090C4359" w:rsidR="00F400CD">
        <w:rPr>
          <w:rStyle w:val="FootnoteReference"/>
          <w:rFonts w:asciiTheme="minorHAnsi" w:hAnsiTheme="minorHAnsi" w:cstheme="minorBidi"/>
          <w:sz w:val="22"/>
          <w:szCs w:val="22"/>
        </w:rPr>
        <w:footnoteReference w:id="370"/>
      </w:r>
      <w:r w:rsidRPr="090C4359" w:rsidR="008F1664">
        <w:rPr>
          <w:rFonts w:asciiTheme="minorHAnsi" w:hAnsiTheme="minorHAnsi" w:cstheme="minorBidi"/>
          <w:sz w:val="22"/>
          <w:szCs w:val="22"/>
        </w:rPr>
        <w:t xml:space="preserve"> </w:t>
      </w:r>
      <w:r w:rsidRPr="090C4359" w:rsidR="00502582">
        <w:rPr>
          <w:rFonts w:asciiTheme="minorHAnsi" w:hAnsiTheme="minorHAnsi" w:cstheme="minorBidi"/>
          <w:sz w:val="22"/>
          <w:szCs w:val="22"/>
        </w:rPr>
        <w:t xml:space="preserve">This </w:t>
      </w:r>
      <w:r w:rsidRPr="090C4359" w:rsidR="00EE1CDB">
        <w:rPr>
          <w:rFonts w:asciiTheme="minorHAnsi" w:hAnsiTheme="minorHAnsi" w:cstheme="minorBidi"/>
          <w:sz w:val="22"/>
          <w:szCs w:val="22"/>
        </w:rPr>
        <w:t>finding supports</w:t>
      </w:r>
      <w:r w:rsidRPr="090C4359" w:rsidR="00502582">
        <w:rPr>
          <w:rFonts w:asciiTheme="minorHAnsi" w:hAnsiTheme="minorHAnsi" w:cstheme="minorBidi"/>
          <w:sz w:val="22"/>
          <w:szCs w:val="22"/>
        </w:rPr>
        <w:t xml:space="preserve"> Benbow’s contention that there should be no ‘right to try’ as proposed under the sig</w:t>
      </w:r>
      <w:r w:rsidRPr="090C4359" w:rsidR="00202DFA">
        <w:rPr>
          <w:rFonts w:asciiTheme="minorHAnsi" w:hAnsiTheme="minorHAnsi" w:cstheme="minorBidi"/>
          <w:sz w:val="22"/>
          <w:szCs w:val="22"/>
        </w:rPr>
        <w:t>n</w:t>
      </w:r>
      <w:r w:rsidRPr="090C4359" w:rsidR="00502582">
        <w:rPr>
          <w:rFonts w:asciiTheme="minorHAnsi" w:hAnsiTheme="minorHAnsi" w:cstheme="minorBidi"/>
          <w:sz w:val="22"/>
          <w:szCs w:val="22"/>
        </w:rPr>
        <w:t>ificant harm threshold</w:t>
      </w:r>
      <w:r w:rsidRPr="090C4359" w:rsidR="00720E5D">
        <w:rPr>
          <w:rFonts w:asciiTheme="minorHAnsi" w:hAnsiTheme="minorHAnsi" w:cstheme="minorBidi"/>
          <w:sz w:val="22"/>
          <w:szCs w:val="22"/>
        </w:rPr>
        <w:t>, which would largely cater to the parents interests and</w:t>
      </w:r>
      <w:r w:rsidRPr="090C4359" w:rsidR="003F0813">
        <w:rPr>
          <w:rFonts w:asciiTheme="minorHAnsi" w:hAnsiTheme="minorHAnsi" w:cstheme="minorBidi"/>
          <w:sz w:val="22"/>
          <w:szCs w:val="22"/>
        </w:rPr>
        <w:t xml:space="preserve"> might prolong the child’s pain or suffering</w:t>
      </w:r>
      <w:r w:rsidRPr="090C4359" w:rsidR="00B005AC">
        <w:rPr>
          <w:rFonts w:asciiTheme="minorHAnsi" w:hAnsiTheme="minorHAnsi" w:cstheme="minorBidi"/>
          <w:sz w:val="22"/>
          <w:szCs w:val="22"/>
        </w:rPr>
        <w:t>.</w:t>
      </w:r>
      <w:r w:rsidRPr="090C4359" w:rsidR="00992C18">
        <w:rPr>
          <w:rStyle w:val="FootnoteReference"/>
          <w:rFonts w:asciiTheme="minorHAnsi" w:hAnsiTheme="minorHAnsi" w:cstheme="minorBidi"/>
          <w:sz w:val="22"/>
          <w:szCs w:val="22"/>
        </w:rPr>
        <w:t xml:space="preserve"> </w:t>
      </w:r>
      <w:r w:rsidRPr="090C4359" w:rsidR="00992C18">
        <w:rPr>
          <w:rStyle w:val="FootnoteReference"/>
          <w:rFonts w:asciiTheme="minorHAnsi" w:hAnsiTheme="minorHAnsi" w:cstheme="minorBidi"/>
          <w:sz w:val="22"/>
          <w:szCs w:val="22"/>
        </w:rPr>
        <w:footnoteReference w:id="371"/>
      </w:r>
      <w:r w:rsidRPr="090C4359" w:rsidR="00992C18">
        <w:rPr>
          <w:rFonts w:asciiTheme="minorHAnsi" w:hAnsiTheme="minorHAnsi" w:cstheme="minorBidi"/>
          <w:sz w:val="22"/>
          <w:szCs w:val="22"/>
        </w:rPr>
        <w:t xml:space="preserve"> </w:t>
      </w:r>
      <w:r w:rsidRPr="090C4359" w:rsidR="003F0813">
        <w:rPr>
          <w:rFonts w:asciiTheme="minorHAnsi" w:hAnsiTheme="minorHAnsi" w:cstheme="minorBidi"/>
          <w:sz w:val="22"/>
          <w:szCs w:val="22"/>
        </w:rPr>
        <w:t>In sum</w:t>
      </w:r>
      <w:r w:rsidRPr="090C4359" w:rsidR="00CD151D">
        <w:rPr>
          <w:rFonts w:asciiTheme="minorHAnsi" w:hAnsiTheme="minorHAnsi" w:cstheme="minorBidi"/>
          <w:sz w:val="22"/>
          <w:szCs w:val="22"/>
        </w:rPr>
        <w:t>,</w:t>
      </w:r>
      <w:r w:rsidRPr="090C4359" w:rsidR="003F0813">
        <w:rPr>
          <w:rFonts w:asciiTheme="minorHAnsi" w:hAnsiTheme="minorHAnsi" w:cstheme="minorBidi"/>
          <w:sz w:val="22"/>
          <w:szCs w:val="22"/>
        </w:rPr>
        <w:t xml:space="preserve"> </w:t>
      </w:r>
      <w:r w:rsidRPr="090C4359" w:rsidR="00CF4463">
        <w:rPr>
          <w:rFonts w:asciiTheme="minorHAnsi" w:hAnsiTheme="minorHAnsi" w:cstheme="minorBidi"/>
          <w:sz w:val="22"/>
          <w:szCs w:val="22"/>
        </w:rPr>
        <w:t>Birchley</w:t>
      </w:r>
      <w:r w:rsidRPr="090C4359" w:rsidR="003F0813">
        <w:rPr>
          <w:rFonts w:asciiTheme="minorHAnsi" w:hAnsiTheme="minorHAnsi" w:cstheme="minorBidi"/>
          <w:sz w:val="22"/>
          <w:szCs w:val="22"/>
        </w:rPr>
        <w:t xml:space="preserve"> </w:t>
      </w:r>
      <w:r w:rsidRPr="090C4359" w:rsidR="00CD151D">
        <w:rPr>
          <w:rFonts w:asciiTheme="minorHAnsi" w:hAnsiTheme="minorHAnsi" w:cstheme="minorBidi"/>
          <w:sz w:val="22"/>
          <w:szCs w:val="22"/>
        </w:rPr>
        <w:t>argues that</w:t>
      </w:r>
      <w:r w:rsidRPr="090C4359" w:rsidR="003F0813">
        <w:rPr>
          <w:rFonts w:asciiTheme="minorHAnsi" w:hAnsiTheme="minorHAnsi" w:cstheme="minorBidi"/>
          <w:sz w:val="22"/>
          <w:szCs w:val="22"/>
        </w:rPr>
        <w:t xml:space="preserve"> </w:t>
      </w:r>
      <w:r w:rsidRPr="090C4359" w:rsidR="00CF4463">
        <w:rPr>
          <w:rFonts w:asciiTheme="minorHAnsi" w:hAnsiTheme="minorHAnsi" w:cstheme="minorBidi"/>
          <w:sz w:val="22"/>
          <w:szCs w:val="22"/>
        </w:rPr>
        <w:t>‘(…) given the very amorphous nature of welfare when facts are in short supply, any approach that concentrates power with a parent, a doctor or any other party risks failing to take account of important perspectives…Shared decision-making is a good start, yet risks excluding consideration of the child’.</w:t>
      </w:r>
      <w:r w:rsidRPr="090C4359" w:rsidR="00CF4463">
        <w:rPr>
          <w:rStyle w:val="FootnoteReference"/>
          <w:rFonts w:asciiTheme="minorHAnsi" w:hAnsiTheme="minorHAnsi" w:cstheme="minorBidi"/>
          <w:sz w:val="22"/>
          <w:szCs w:val="22"/>
        </w:rPr>
        <w:footnoteReference w:id="372"/>
      </w:r>
      <w:r w:rsidRPr="090C4359" w:rsidR="00CF4463">
        <w:rPr>
          <w:rFonts w:asciiTheme="minorHAnsi" w:hAnsiTheme="minorHAnsi" w:cstheme="minorBidi"/>
          <w:sz w:val="22"/>
          <w:szCs w:val="22"/>
        </w:rPr>
        <w:t xml:space="preserve"> </w:t>
      </w:r>
    </w:p>
    <w:p w:rsidRPr="000467F8" w:rsidR="00F0126A" w:rsidP="00F0126A" w:rsidRDefault="00F0126A" w14:paraId="69867EB6" w14:textId="77777777">
      <w:pPr>
        <w:pStyle w:val="Normal0"/>
        <w:ind w:left="720"/>
        <w:rPr>
          <w:rFonts w:asciiTheme="minorHAnsi" w:hAnsiTheme="minorHAnsi" w:cstheme="minorHAnsi"/>
          <w:sz w:val="22"/>
          <w:szCs w:val="22"/>
        </w:rPr>
      </w:pPr>
    </w:p>
    <w:p w:rsidR="00F6749B" w:rsidP="0072154C" w:rsidRDefault="00353164" w14:paraId="64DF9AA2" w14:textId="4230F868">
      <w:pPr>
        <w:pStyle w:val="Normal0"/>
        <w:numPr>
          <w:ilvl w:val="0"/>
          <w:numId w:val="2"/>
        </w:numPr>
        <w:jc w:val="both"/>
        <w:rPr>
          <w:rFonts w:asciiTheme="minorHAnsi" w:hAnsiTheme="minorHAnsi" w:cstheme="minorHAnsi"/>
        </w:rPr>
      </w:pPr>
      <w:r w:rsidRPr="090C4359">
        <w:rPr>
          <w:rFonts w:asciiTheme="minorHAnsi" w:hAnsiTheme="minorHAnsi" w:cstheme="minorBidi"/>
          <w:sz w:val="22"/>
          <w:szCs w:val="22"/>
        </w:rPr>
        <w:t>Various alternative thresholds to significant harm and best interests have been proposed over the years</w:t>
      </w:r>
      <w:r w:rsidRPr="090C4359" w:rsidR="00654EB0">
        <w:rPr>
          <w:rFonts w:asciiTheme="minorHAnsi" w:hAnsiTheme="minorHAnsi" w:cstheme="minorBidi"/>
          <w:sz w:val="22"/>
          <w:szCs w:val="22"/>
        </w:rPr>
        <w:t>.</w:t>
      </w:r>
      <w:r w:rsidRPr="090C4359" w:rsidR="00CD461B">
        <w:rPr>
          <w:rFonts w:asciiTheme="minorHAnsi" w:hAnsiTheme="minorHAnsi" w:cstheme="minorBidi"/>
          <w:sz w:val="22"/>
          <w:szCs w:val="22"/>
        </w:rPr>
        <w:t xml:space="preserve"> Recent incarnations include</w:t>
      </w:r>
      <w:r w:rsidRPr="090C4359" w:rsidR="00654EB0">
        <w:rPr>
          <w:rFonts w:asciiTheme="minorHAnsi" w:hAnsiTheme="minorHAnsi" w:cstheme="minorBidi"/>
          <w:sz w:val="22"/>
          <w:szCs w:val="22"/>
        </w:rPr>
        <w:t xml:space="preserve"> </w:t>
      </w:r>
      <w:r w:rsidRPr="090C4359">
        <w:rPr>
          <w:rFonts w:asciiTheme="minorHAnsi" w:hAnsiTheme="minorHAnsi" w:cstheme="minorBidi"/>
          <w:sz w:val="22"/>
          <w:szCs w:val="22"/>
        </w:rPr>
        <w:t>Bester’s ‘</w:t>
      </w:r>
      <w:r w:rsidRPr="090C4359" w:rsidR="00C07F26">
        <w:rPr>
          <w:rFonts w:asciiTheme="minorHAnsi" w:hAnsiTheme="minorHAnsi" w:cstheme="minorBidi"/>
          <w:sz w:val="22"/>
          <w:szCs w:val="22"/>
        </w:rPr>
        <w:t>Reasonable Argu</w:t>
      </w:r>
      <w:r w:rsidRPr="090C4359" w:rsidR="00CD461B">
        <w:rPr>
          <w:rFonts w:asciiTheme="minorHAnsi" w:hAnsiTheme="minorHAnsi" w:cstheme="minorBidi"/>
          <w:sz w:val="22"/>
          <w:szCs w:val="22"/>
        </w:rPr>
        <w:t>ment</w:t>
      </w:r>
      <w:r w:rsidRPr="090C4359">
        <w:rPr>
          <w:rFonts w:asciiTheme="minorHAnsi" w:hAnsiTheme="minorHAnsi" w:cstheme="minorBidi"/>
          <w:sz w:val="22"/>
          <w:szCs w:val="22"/>
        </w:rPr>
        <w:t>’ test</w:t>
      </w:r>
      <w:r w:rsidRPr="090C4359" w:rsidR="00CD461B">
        <w:rPr>
          <w:rFonts w:asciiTheme="minorHAnsi" w:hAnsiTheme="minorHAnsi" w:cstheme="minorBidi"/>
          <w:sz w:val="22"/>
          <w:szCs w:val="22"/>
        </w:rPr>
        <w:t>, which</w:t>
      </w:r>
      <w:r w:rsidRPr="090C4359" w:rsidR="00A75E8D">
        <w:rPr>
          <w:rFonts w:asciiTheme="minorHAnsi" w:hAnsiTheme="minorHAnsi" w:cstheme="minorBidi"/>
          <w:sz w:val="22"/>
          <w:szCs w:val="22"/>
        </w:rPr>
        <w:t xml:space="preserve"> uses factual premises and values to </w:t>
      </w:r>
      <w:r w:rsidRPr="090C4359" w:rsidR="00B9110C">
        <w:rPr>
          <w:rFonts w:asciiTheme="minorHAnsi" w:hAnsiTheme="minorHAnsi" w:cstheme="minorBidi"/>
          <w:sz w:val="22"/>
          <w:szCs w:val="22"/>
        </w:rPr>
        <w:t>make a reasonable argument that the decision is in the best interests of the child.</w:t>
      </w:r>
      <w:r w:rsidRPr="090C4359">
        <w:rPr>
          <w:rFonts w:asciiTheme="minorHAnsi" w:hAnsiTheme="minorHAnsi" w:cstheme="minorBidi"/>
          <w:sz w:val="22"/>
          <w:szCs w:val="22"/>
        </w:rPr>
        <w:t xml:space="preserve"> </w:t>
      </w:r>
      <w:r w:rsidRPr="090C4359" w:rsidR="00D4692A">
        <w:rPr>
          <w:rStyle w:val="FootnoteReference"/>
          <w:rFonts w:asciiTheme="minorHAnsi" w:hAnsiTheme="minorHAnsi" w:cstheme="minorBidi"/>
          <w:sz w:val="22"/>
          <w:szCs w:val="22"/>
        </w:rPr>
        <w:footnoteReference w:id="373"/>
      </w:r>
      <w:r w:rsidRPr="090C4359" w:rsidR="00A45C71">
        <w:rPr>
          <w:rFonts w:asciiTheme="minorHAnsi" w:hAnsiTheme="minorHAnsi" w:cstheme="minorBidi"/>
          <w:sz w:val="22"/>
          <w:szCs w:val="22"/>
        </w:rPr>
        <w:t xml:space="preserve"> </w:t>
      </w:r>
      <w:r w:rsidRPr="090C4359" w:rsidR="004419CE">
        <w:rPr>
          <w:rFonts w:asciiTheme="minorHAnsi" w:hAnsiTheme="minorHAnsi" w:cstheme="minorBidi"/>
          <w:sz w:val="22"/>
          <w:szCs w:val="22"/>
        </w:rPr>
        <w:t xml:space="preserve">In </w:t>
      </w:r>
      <w:r w:rsidRPr="090C4359" w:rsidR="004419CE">
        <w:rPr>
          <w:rFonts w:asciiTheme="minorHAnsi" w:hAnsiTheme="minorHAnsi" w:cstheme="minorBidi"/>
          <w:i/>
          <w:iCs/>
          <w:sz w:val="22"/>
          <w:szCs w:val="22"/>
        </w:rPr>
        <w:t>Fixsler</w:t>
      </w:r>
      <w:r w:rsidRPr="090C4359" w:rsidR="006160A3">
        <w:rPr>
          <w:rFonts w:asciiTheme="minorHAnsi" w:hAnsiTheme="minorHAnsi" w:cstheme="minorBidi"/>
          <w:sz w:val="22"/>
          <w:szCs w:val="22"/>
        </w:rPr>
        <w:t xml:space="preserve">, </w:t>
      </w:r>
      <w:r w:rsidRPr="090C4359" w:rsidR="006752C4">
        <w:rPr>
          <w:rFonts w:asciiTheme="minorHAnsi" w:hAnsiTheme="minorHAnsi" w:cstheme="minorBidi"/>
          <w:sz w:val="22"/>
          <w:szCs w:val="22"/>
        </w:rPr>
        <w:t xml:space="preserve">although </w:t>
      </w:r>
      <w:r w:rsidRPr="090C4359" w:rsidR="00B50862">
        <w:rPr>
          <w:rFonts w:asciiTheme="minorHAnsi" w:hAnsiTheme="minorHAnsi" w:cstheme="minorBidi"/>
          <w:sz w:val="22"/>
          <w:szCs w:val="22"/>
        </w:rPr>
        <w:t>MacDonald J</w:t>
      </w:r>
      <w:r w:rsidRPr="090C4359" w:rsidR="006160A3">
        <w:rPr>
          <w:rFonts w:asciiTheme="minorHAnsi" w:hAnsiTheme="minorHAnsi" w:cstheme="minorBidi"/>
          <w:color w:val="00B0F0"/>
          <w:sz w:val="22"/>
          <w:szCs w:val="22"/>
        </w:rPr>
        <w:t xml:space="preserve"> </w:t>
      </w:r>
      <w:r w:rsidRPr="090C4359" w:rsidR="004419CE">
        <w:rPr>
          <w:rFonts w:asciiTheme="minorHAnsi" w:hAnsiTheme="minorHAnsi" w:cstheme="minorBidi"/>
          <w:sz w:val="22"/>
          <w:szCs w:val="22"/>
        </w:rPr>
        <w:t>rejects</w:t>
      </w:r>
      <w:r w:rsidRPr="090C4359" w:rsidR="006752C4">
        <w:rPr>
          <w:rFonts w:asciiTheme="minorHAnsi" w:hAnsiTheme="minorHAnsi" w:cstheme="minorBidi"/>
          <w:sz w:val="22"/>
          <w:szCs w:val="22"/>
        </w:rPr>
        <w:t xml:space="preserve"> </w:t>
      </w:r>
      <w:r w:rsidRPr="090C4359" w:rsidR="00002AAE">
        <w:rPr>
          <w:rFonts w:asciiTheme="minorHAnsi" w:hAnsiTheme="minorHAnsi" w:cstheme="minorBidi"/>
          <w:sz w:val="22"/>
          <w:szCs w:val="22"/>
        </w:rPr>
        <w:t>assessing reasonableness of the parents</w:t>
      </w:r>
      <w:r w:rsidRPr="090C4359" w:rsidR="0063745F">
        <w:rPr>
          <w:rFonts w:asciiTheme="minorHAnsi" w:hAnsiTheme="minorHAnsi" w:cstheme="minorBidi"/>
          <w:sz w:val="22"/>
          <w:szCs w:val="22"/>
        </w:rPr>
        <w:t>’</w:t>
      </w:r>
      <w:r w:rsidRPr="090C4359" w:rsidR="00002AAE">
        <w:rPr>
          <w:rFonts w:asciiTheme="minorHAnsi" w:hAnsiTheme="minorHAnsi" w:cstheme="minorBidi"/>
          <w:sz w:val="22"/>
          <w:szCs w:val="22"/>
        </w:rPr>
        <w:t xml:space="preserve"> view</w:t>
      </w:r>
      <w:r w:rsidRPr="090C4359" w:rsidR="0063745F">
        <w:rPr>
          <w:rFonts w:asciiTheme="minorHAnsi" w:hAnsiTheme="minorHAnsi" w:cstheme="minorBidi"/>
          <w:sz w:val="22"/>
          <w:szCs w:val="22"/>
        </w:rPr>
        <w:t>,</w:t>
      </w:r>
      <w:r w:rsidRPr="090C4359" w:rsidR="00B50862">
        <w:rPr>
          <w:rStyle w:val="FootnoteReference"/>
          <w:rFonts w:asciiTheme="minorHAnsi" w:hAnsiTheme="minorHAnsi" w:cstheme="minorBidi"/>
          <w:sz w:val="22"/>
          <w:szCs w:val="22"/>
        </w:rPr>
        <w:footnoteReference w:id="374"/>
      </w:r>
      <w:r w:rsidRPr="090C4359" w:rsidR="006160A3">
        <w:rPr>
          <w:rFonts w:asciiTheme="minorHAnsi" w:hAnsiTheme="minorHAnsi" w:cstheme="minorBidi"/>
          <w:sz w:val="22"/>
          <w:szCs w:val="22"/>
        </w:rPr>
        <w:t xml:space="preserve"> Pruski argues</w:t>
      </w:r>
      <w:r w:rsidRPr="090C4359" w:rsidR="00CB49EF">
        <w:rPr>
          <w:rFonts w:asciiTheme="minorHAnsi" w:hAnsiTheme="minorHAnsi" w:cstheme="minorBidi"/>
          <w:sz w:val="22"/>
          <w:szCs w:val="22"/>
        </w:rPr>
        <w:t xml:space="preserve"> it is</w:t>
      </w:r>
      <w:r w:rsidRPr="090C4359" w:rsidR="00FD39A4">
        <w:rPr>
          <w:rFonts w:asciiTheme="minorHAnsi" w:hAnsiTheme="minorHAnsi" w:cstheme="minorBidi"/>
          <w:sz w:val="22"/>
          <w:szCs w:val="22"/>
        </w:rPr>
        <w:t xml:space="preserve"> </w:t>
      </w:r>
      <w:r w:rsidRPr="090C4359" w:rsidR="00A72B65">
        <w:rPr>
          <w:rFonts w:asciiTheme="minorHAnsi" w:hAnsiTheme="minorHAnsi" w:cstheme="minorBidi"/>
          <w:sz w:val="22"/>
          <w:szCs w:val="22"/>
        </w:rPr>
        <w:t>‘</w:t>
      </w:r>
      <w:r w:rsidRPr="090C4359" w:rsidR="00FD39A4">
        <w:rPr>
          <w:rFonts w:asciiTheme="minorHAnsi" w:hAnsiTheme="minorHAnsi" w:cstheme="minorBidi"/>
          <w:sz w:val="22"/>
          <w:szCs w:val="22"/>
        </w:rPr>
        <w:t>the most appropriate thing to do in a secular and liberal state</w:t>
      </w:r>
      <w:r w:rsidRPr="090C4359" w:rsidR="005D69CC">
        <w:rPr>
          <w:rFonts w:asciiTheme="minorHAnsi" w:hAnsiTheme="minorHAnsi" w:cstheme="minorBidi"/>
          <w:sz w:val="22"/>
          <w:szCs w:val="22"/>
        </w:rPr>
        <w:t xml:space="preserve"> </w:t>
      </w:r>
      <w:r w:rsidRPr="090C4359" w:rsidR="00FD39A4">
        <w:rPr>
          <w:rFonts w:asciiTheme="minorHAnsi" w:hAnsiTheme="minorHAnsi" w:cstheme="minorBidi"/>
          <w:sz w:val="22"/>
          <w:szCs w:val="22"/>
        </w:rPr>
        <w:t>-</w:t>
      </w:r>
      <w:r w:rsidRPr="090C4359" w:rsidR="00010A94">
        <w:rPr>
          <w:rFonts w:asciiTheme="minorHAnsi" w:hAnsiTheme="minorHAnsi" w:cstheme="minorBidi"/>
          <w:sz w:val="22"/>
          <w:szCs w:val="22"/>
        </w:rPr>
        <w:t xml:space="preserve"> </w:t>
      </w:r>
      <w:r w:rsidRPr="090C4359" w:rsidR="00FD39A4">
        <w:rPr>
          <w:rFonts w:asciiTheme="minorHAnsi" w:hAnsiTheme="minorHAnsi" w:cstheme="minorBidi"/>
          <w:sz w:val="22"/>
          <w:szCs w:val="22"/>
        </w:rPr>
        <w:t>to assume a reasonable parent standard before transferring the responsibility for the best interest decision to the judge if the parents do not meet the reasonable parent standard</w:t>
      </w:r>
      <w:r w:rsidRPr="090C4359" w:rsidR="00A72B65">
        <w:rPr>
          <w:rFonts w:asciiTheme="minorHAnsi" w:hAnsiTheme="minorHAnsi" w:cstheme="minorBidi"/>
          <w:sz w:val="22"/>
          <w:szCs w:val="22"/>
        </w:rPr>
        <w:t>’.</w:t>
      </w:r>
      <w:r w:rsidRPr="090C4359" w:rsidR="00010A94">
        <w:rPr>
          <w:rStyle w:val="FootnoteReference"/>
          <w:rFonts w:asciiTheme="minorHAnsi" w:hAnsiTheme="minorHAnsi" w:cstheme="minorBidi"/>
          <w:sz w:val="22"/>
          <w:szCs w:val="22"/>
        </w:rPr>
        <w:footnoteReference w:id="375"/>
      </w:r>
      <w:r w:rsidRPr="090C4359" w:rsidR="003964D0">
        <w:rPr>
          <w:rFonts w:asciiTheme="minorHAnsi" w:hAnsiTheme="minorHAnsi" w:cstheme="minorBidi"/>
          <w:sz w:val="22"/>
          <w:szCs w:val="22"/>
        </w:rPr>
        <w:t xml:space="preserve"> Gamble and Pruski propose that </w:t>
      </w:r>
      <w:r w:rsidRPr="090C4359" w:rsidR="00594C0B">
        <w:rPr>
          <w:rFonts w:asciiTheme="minorHAnsi" w:hAnsiTheme="minorHAnsi" w:cstheme="minorBidi"/>
          <w:sz w:val="22"/>
          <w:szCs w:val="22"/>
        </w:rPr>
        <w:t>three criteria need to</w:t>
      </w:r>
      <w:r w:rsidRPr="090C4359" w:rsidR="000824B9">
        <w:rPr>
          <w:rFonts w:asciiTheme="minorHAnsi" w:hAnsiTheme="minorHAnsi" w:cstheme="minorBidi"/>
          <w:sz w:val="22"/>
          <w:szCs w:val="22"/>
        </w:rPr>
        <w:t xml:space="preserve"> be</w:t>
      </w:r>
      <w:r w:rsidRPr="090C4359" w:rsidR="00594C0B">
        <w:rPr>
          <w:rFonts w:asciiTheme="minorHAnsi" w:hAnsiTheme="minorHAnsi" w:cstheme="minorBidi"/>
          <w:sz w:val="22"/>
          <w:szCs w:val="22"/>
        </w:rPr>
        <w:t xml:space="preserve"> </w:t>
      </w:r>
      <w:r w:rsidRPr="090C4359" w:rsidR="00262E48">
        <w:rPr>
          <w:rFonts w:asciiTheme="minorHAnsi" w:hAnsiTheme="minorHAnsi" w:cstheme="minorBidi"/>
          <w:sz w:val="22"/>
          <w:szCs w:val="22"/>
        </w:rPr>
        <w:t xml:space="preserve">met in order for parental views to be deemed ‘reasonable’ and therefore be decisive; 1. </w:t>
      </w:r>
      <w:r w:rsidRPr="090C4359" w:rsidR="005542E7">
        <w:rPr>
          <w:rFonts w:asciiTheme="minorHAnsi" w:hAnsiTheme="minorHAnsi" w:cstheme="minorBidi"/>
          <w:sz w:val="22"/>
          <w:szCs w:val="22"/>
        </w:rPr>
        <w:t>Prima facie caring, 2. Can meaningfully engage with the medical evidence for benefit and harm</w:t>
      </w:r>
      <w:r w:rsidRPr="090C4359" w:rsidR="00D24B23">
        <w:rPr>
          <w:rFonts w:asciiTheme="minorHAnsi" w:hAnsiTheme="minorHAnsi" w:cstheme="minorBidi"/>
          <w:sz w:val="22"/>
          <w:szCs w:val="22"/>
        </w:rPr>
        <w:t xml:space="preserve"> (implicit here is that there is a competent body of medical opinion to support the claim)</w:t>
      </w:r>
      <w:r w:rsidRPr="090C4359" w:rsidR="00610598">
        <w:rPr>
          <w:rFonts w:asciiTheme="minorHAnsi" w:hAnsiTheme="minorHAnsi" w:cstheme="minorBidi"/>
          <w:sz w:val="22"/>
          <w:szCs w:val="22"/>
        </w:rPr>
        <w:t>,</w:t>
      </w:r>
      <w:r w:rsidRPr="090C4359" w:rsidR="00D24B23">
        <w:rPr>
          <w:rFonts w:asciiTheme="minorHAnsi" w:hAnsiTheme="minorHAnsi" w:cstheme="minorBidi"/>
          <w:sz w:val="22"/>
          <w:szCs w:val="22"/>
        </w:rPr>
        <w:t xml:space="preserve"> </w:t>
      </w:r>
      <w:r w:rsidRPr="090C4359" w:rsidR="005542E7">
        <w:rPr>
          <w:rFonts w:asciiTheme="minorHAnsi" w:hAnsiTheme="minorHAnsi" w:cstheme="minorBidi"/>
          <w:sz w:val="22"/>
          <w:szCs w:val="22"/>
        </w:rPr>
        <w:t xml:space="preserve">and 3. </w:t>
      </w:r>
      <w:r w:rsidRPr="090C4359" w:rsidR="00AB67DE">
        <w:rPr>
          <w:rFonts w:asciiTheme="minorHAnsi" w:hAnsiTheme="minorHAnsi" w:cstheme="minorBidi"/>
          <w:sz w:val="22"/>
          <w:szCs w:val="22"/>
        </w:rPr>
        <w:t>“</w:t>
      </w:r>
      <w:r w:rsidRPr="090C4359" w:rsidR="007A0ED8">
        <w:rPr>
          <w:rFonts w:asciiTheme="minorHAnsi" w:hAnsiTheme="minorHAnsi" w:cstheme="minorBidi"/>
          <w:sz w:val="22"/>
          <w:szCs w:val="22"/>
        </w:rPr>
        <w:t>Intend the child’s health</w:t>
      </w:r>
      <w:r w:rsidRPr="090C4359" w:rsidR="00626408">
        <w:rPr>
          <w:rFonts w:asciiTheme="minorHAnsi" w:hAnsiTheme="minorHAnsi" w:cstheme="minorBidi"/>
          <w:sz w:val="22"/>
          <w:szCs w:val="22"/>
        </w:rPr>
        <w:t>”</w:t>
      </w:r>
      <w:r w:rsidRPr="090C4359" w:rsidR="00E34A84">
        <w:rPr>
          <w:rFonts w:asciiTheme="minorHAnsi" w:hAnsiTheme="minorHAnsi" w:cstheme="minorBidi"/>
          <w:sz w:val="22"/>
          <w:szCs w:val="22"/>
        </w:rPr>
        <w:t>, which they define to a minimal standard as not intending the child’s death, even if they recognise it as a foreseeable consequence of the decision.</w:t>
      </w:r>
      <w:r w:rsidRPr="090C4359" w:rsidR="00F46654">
        <w:rPr>
          <w:rStyle w:val="FootnoteReference"/>
          <w:rFonts w:asciiTheme="minorHAnsi" w:hAnsiTheme="minorHAnsi" w:cstheme="minorBidi"/>
          <w:sz w:val="22"/>
          <w:szCs w:val="22"/>
        </w:rPr>
        <w:footnoteReference w:id="376"/>
      </w:r>
      <w:r w:rsidRPr="090C4359" w:rsidR="0032339D">
        <w:rPr>
          <w:rFonts w:asciiTheme="minorHAnsi" w:hAnsiTheme="minorHAnsi" w:cstheme="minorBidi"/>
          <w:sz w:val="22"/>
          <w:szCs w:val="22"/>
        </w:rPr>
        <w:t xml:space="preserve"> </w:t>
      </w:r>
      <w:r w:rsidRPr="090C4359" w:rsidR="00195EB7">
        <w:rPr>
          <w:rFonts w:asciiTheme="minorHAnsi" w:hAnsiTheme="minorHAnsi" w:cstheme="minorBidi"/>
          <w:sz w:val="22"/>
          <w:szCs w:val="22"/>
        </w:rPr>
        <w:t xml:space="preserve">Pruski argues that accepting parental views that meet these criteria is logical and </w:t>
      </w:r>
      <w:r w:rsidRPr="090C4359" w:rsidR="00321194">
        <w:rPr>
          <w:rFonts w:asciiTheme="minorHAnsi" w:hAnsiTheme="minorHAnsi" w:cstheme="minorBidi"/>
          <w:sz w:val="22"/>
          <w:szCs w:val="22"/>
        </w:rPr>
        <w:t>similar to how doctors</w:t>
      </w:r>
      <w:r w:rsidRPr="090C4359" w:rsidR="00445E65">
        <w:rPr>
          <w:rFonts w:asciiTheme="minorHAnsi" w:hAnsiTheme="minorHAnsi" w:cstheme="minorBidi"/>
          <w:sz w:val="22"/>
          <w:szCs w:val="22"/>
        </w:rPr>
        <w:t>’</w:t>
      </w:r>
      <w:r w:rsidRPr="090C4359" w:rsidR="00321194">
        <w:rPr>
          <w:rFonts w:asciiTheme="minorHAnsi" w:hAnsiTheme="minorHAnsi" w:cstheme="minorBidi"/>
          <w:sz w:val="22"/>
          <w:szCs w:val="22"/>
        </w:rPr>
        <w:t xml:space="preserve"> views are accepted when they conform to a reasonable body of medical opinion.</w:t>
      </w:r>
      <w:r w:rsidRPr="090C4359" w:rsidR="00321194">
        <w:rPr>
          <w:rStyle w:val="FootnoteReference"/>
          <w:rFonts w:asciiTheme="minorHAnsi" w:hAnsiTheme="minorHAnsi" w:cstheme="minorBidi"/>
        </w:rPr>
        <w:footnoteReference w:id="377"/>
      </w:r>
      <w:r w:rsidRPr="090C4359" w:rsidR="00EF42FB">
        <w:rPr>
          <w:rFonts w:asciiTheme="minorHAnsi" w:hAnsiTheme="minorHAnsi" w:cstheme="minorBidi"/>
        </w:rPr>
        <w:t xml:space="preserve"> </w:t>
      </w:r>
      <w:r w:rsidRPr="090C4359" w:rsidR="00B27123">
        <w:rPr>
          <w:rFonts w:asciiTheme="minorHAnsi" w:hAnsiTheme="minorHAnsi" w:cstheme="minorBidi"/>
        </w:rPr>
        <w:t xml:space="preserve"> </w:t>
      </w:r>
    </w:p>
    <w:p w:rsidR="00F6749B" w:rsidP="00F6749B" w:rsidRDefault="00F6749B" w14:paraId="2BD35D60" w14:textId="77777777">
      <w:pPr>
        <w:pStyle w:val="Normal0"/>
        <w:ind w:left="720"/>
        <w:rPr>
          <w:rFonts w:asciiTheme="minorHAnsi" w:hAnsiTheme="minorHAnsi" w:cstheme="minorHAnsi"/>
        </w:rPr>
      </w:pPr>
    </w:p>
    <w:p w:rsidRPr="00666EC3" w:rsidR="00464744" w:rsidP="0072154C" w:rsidRDefault="00F6749B" w14:paraId="0F3ED31B" w14:textId="7E37823F">
      <w:pPr>
        <w:pStyle w:val="Normal0"/>
        <w:numPr>
          <w:ilvl w:val="0"/>
          <w:numId w:val="2"/>
        </w:numPr>
        <w:jc w:val="both"/>
        <w:rPr>
          <w:rFonts w:asciiTheme="minorHAnsi" w:hAnsiTheme="minorHAnsi" w:cstheme="minorHAnsi"/>
          <w:sz w:val="22"/>
          <w:szCs w:val="22"/>
        </w:rPr>
      </w:pPr>
      <w:r w:rsidRPr="090C4359">
        <w:rPr>
          <w:rFonts w:asciiTheme="minorHAnsi" w:hAnsiTheme="minorHAnsi" w:cstheme="minorBidi"/>
          <w:sz w:val="22"/>
          <w:szCs w:val="22"/>
        </w:rPr>
        <w:t xml:space="preserve">Another alternative approach is </w:t>
      </w:r>
      <w:r w:rsidRPr="090C4359" w:rsidR="00B27123">
        <w:rPr>
          <w:rFonts w:asciiTheme="minorHAnsi" w:hAnsiTheme="minorHAnsi" w:cstheme="minorBidi"/>
          <w:sz w:val="22"/>
          <w:szCs w:val="22"/>
        </w:rPr>
        <w:t>Wilkinson</w:t>
      </w:r>
      <w:r w:rsidRPr="090C4359">
        <w:rPr>
          <w:rFonts w:asciiTheme="minorHAnsi" w:hAnsiTheme="minorHAnsi" w:cstheme="minorBidi"/>
          <w:sz w:val="22"/>
          <w:szCs w:val="22"/>
        </w:rPr>
        <w:t xml:space="preserve">’s “Conditional </w:t>
      </w:r>
      <w:r w:rsidRPr="090C4359" w:rsidR="00962E9E">
        <w:rPr>
          <w:rFonts w:asciiTheme="minorHAnsi" w:hAnsiTheme="minorHAnsi" w:cstheme="minorBidi"/>
          <w:sz w:val="22"/>
          <w:szCs w:val="22"/>
        </w:rPr>
        <w:t>Harm” threshold.</w:t>
      </w:r>
      <w:r w:rsidRPr="090C4359" w:rsidR="00F45B82">
        <w:rPr>
          <w:rStyle w:val="FootnoteReference"/>
          <w:rFonts w:asciiTheme="minorHAnsi" w:hAnsiTheme="minorHAnsi" w:cstheme="minorBidi"/>
          <w:sz w:val="22"/>
          <w:szCs w:val="22"/>
        </w:rPr>
        <w:footnoteReference w:id="378"/>
      </w:r>
      <w:r w:rsidRPr="090C4359" w:rsidR="00962E9E">
        <w:rPr>
          <w:rFonts w:asciiTheme="minorHAnsi" w:hAnsiTheme="minorHAnsi" w:cstheme="minorBidi"/>
          <w:sz w:val="22"/>
          <w:szCs w:val="22"/>
        </w:rPr>
        <w:t xml:space="preserve"> </w:t>
      </w:r>
      <w:r w:rsidRPr="090C4359" w:rsidR="00B27123">
        <w:rPr>
          <w:rFonts w:asciiTheme="minorHAnsi" w:hAnsiTheme="minorHAnsi" w:cstheme="minorBidi"/>
          <w:sz w:val="22"/>
          <w:szCs w:val="22"/>
        </w:rPr>
        <w:t xml:space="preserve"> </w:t>
      </w:r>
      <w:r w:rsidRPr="090C4359" w:rsidR="00962E9E">
        <w:rPr>
          <w:rFonts w:asciiTheme="minorHAnsi" w:hAnsiTheme="minorHAnsi" w:cstheme="minorBidi"/>
          <w:sz w:val="22"/>
          <w:szCs w:val="22"/>
        </w:rPr>
        <w:t>Whilst as seen above, he advocates for the significant harm threshold on a</w:t>
      </w:r>
      <w:r w:rsidRPr="090C4359" w:rsidR="00C00A0C">
        <w:rPr>
          <w:rFonts w:asciiTheme="minorHAnsi" w:hAnsiTheme="minorHAnsi" w:cstheme="minorBidi"/>
          <w:sz w:val="22"/>
          <w:szCs w:val="22"/>
        </w:rPr>
        <w:t xml:space="preserve"> normative </w:t>
      </w:r>
      <w:r w:rsidRPr="090C4359" w:rsidR="00962E9E">
        <w:rPr>
          <w:rFonts w:asciiTheme="minorHAnsi" w:hAnsiTheme="minorHAnsi" w:cstheme="minorBidi"/>
          <w:sz w:val="22"/>
          <w:szCs w:val="22"/>
        </w:rPr>
        <w:t xml:space="preserve">ethical basis, he acknowledges that </w:t>
      </w:r>
      <w:r w:rsidRPr="090C4359" w:rsidR="00AD0427">
        <w:rPr>
          <w:rFonts w:asciiTheme="minorHAnsi" w:hAnsiTheme="minorHAnsi" w:cstheme="minorBidi"/>
          <w:sz w:val="22"/>
          <w:szCs w:val="22"/>
        </w:rPr>
        <w:t xml:space="preserve">‘it may be appropriate for the default </w:t>
      </w:r>
      <w:r w:rsidRPr="090C4359" w:rsidR="00AD0427">
        <w:rPr>
          <w:rFonts w:asciiTheme="minorHAnsi" w:hAnsiTheme="minorHAnsi" w:cstheme="minorBidi"/>
          <w:i/>
          <w:iCs/>
          <w:sz w:val="22"/>
          <w:szCs w:val="22"/>
        </w:rPr>
        <w:t>legal</w:t>
      </w:r>
      <w:r w:rsidRPr="090C4359" w:rsidR="00AD0427">
        <w:rPr>
          <w:rFonts w:asciiTheme="minorHAnsi" w:hAnsiTheme="minorHAnsi" w:cstheme="minorBidi"/>
          <w:sz w:val="22"/>
          <w:szCs w:val="22"/>
        </w:rPr>
        <w:t xml:space="preserve"> test to remain best interests’</w:t>
      </w:r>
      <w:r w:rsidRPr="090C4359" w:rsidR="00A117F2">
        <w:rPr>
          <w:rFonts w:asciiTheme="minorHAnsi" w:hAnsiTheme="minorHAnsi" w:cstheme="minorBidi"/>
          <w:sz w:val="22"/>
          <w:szCs w:val="22"/>
        </w:rPr>
        <w:t xml:space="preserve">. </w:t>
      </w:r>
      <w:r w:rsidRPr="090C4359" w:rsidR="00A34120">
        <w:rPr>
          <w:rStyle w:val="FootnoteReference"/>
          <w:rFonts w:asciiTheme="minorHAnsi" w:hAnsiTheme="minorHAnsi" w:cstheme="minorBidi"/>
          <w:sz w:val="22"/>
          <w:szCs w:val="22"/>
        </w:rPr>
        <w:footnoteReference w:id="379"/>
      </w:r>
      <w:r w:rsidRPr="090C4359" w:rsidR="00464744">
        <w:rPr>
          <w:rFonts w:asciiTheme="minorHAnsi" w:hAnsiTheme="minorHAnsi" w:cstheme="minorBidi"/>
          <w:sz w:val="22"/>
          <w:szCs w:val="22"/>
        </w:rPr>
        <w:t xml:space="preserve"> </w:t>
      </w:r>
      <w:r w:rsidRPr="090C4359" w:rsidR="005D2793">
        <w:rPr>
          <w:rFonts w:asciiTheme="minorHAnsi" w:hAnsiTheme="minorHAnsi" w:cstheme="minorBidi"/>
          <w:sz w:val="22"/>
          <w:szCs w:val="22"/>
        </w:rPr>
        <w:t xml:space="preserve">He claims this is </w:t>
      </w:r>
      <w:r w:rsidRPr="090C4359" w:rsidR="002D392E">
        <w:rPr>
          <w:rFonts w:asciiTheme="minorHAnsi" w:hAnsiTheme="minorHAnsi" w:cstheme="minorBidi"/>
          <w:sz w:val="22"/>
          <w:szCs w:val="22"/>
        </w:rPr>
        <w:t xml:space="preserve">due to the difficulties </w:t>
      </w:r>
      <w:r w:rsidRPr="090C4359" w:rsidR="00B04C5E">
        <w:rPr>
          <w:rFonts w:asciiTheme="minorHAnsi" w:hAnsiTheme="minorHAnsi" w:cstheme="minorBidi"/>
          <w:sz w:val="22"/>
          <w:szCs w:val="22"/>
        </w:rPr>
        <w:t>of applying “harm” to situations where there is for example an absent decision-maker, or where there is disagreement between the parents or between the professiona</w:t>
      </w:r>
      <w:r w:rsidRPr="090C4359" w:rsidR="00A117F2">
        <w:rPr>
          <w:rFonts w:asciiTheme="minorHAnsi" w:hAnsiTheme="minorHAnsi" w:cstheme="minorBidi"/>
          <w:sz w:val="22"/>
          <w:szCs w:val="22"/>
        </w:rPr>
        <w:t>ls</w:t>
      </w:r>
      <w:r w:rsidRPr="090C4359" w:rsidR="00D146B4">
        <w:rPr>
          <w:rFonts w:asciiTheme="minorHAnsi" w:hAnsiTheme="minorHAnsi" w:cstheme="minorBidi"/>
          <w:sz w:val="22"/>
          <w:szCs w:val="22"/>
        </w:rPr>
        <w:t xml:space="preserve">, </w:t>
      </w:r>
      <w:r w:rsidRPr="090C4359" w:rsidR="00A74E77">
        <w:rPr>
          <w:rFonts w:asciiTheme="minorHAnsi" w:hAnsiTheme="minorHAnsi" w:cstheme="minorBidi"/>
          <w:sz w:val="22"/>
          <w:szCs w:val="22"/>
        </w:rPr>
        <w:t>and that it is ethically probl</w:t>
      </w:r>
      <w:r w:rsidRPr="090C4359" w:rsidR="002441F7">
        <w:rPr>
          <w:rFonts w:asciiTheme="minorHAnsi" w:hAnsiTheme="minorHAnsi" w:cstheme="minorBidi"/>
          <w:sz w:val="22"/>
          <w:szCs w:val="22"/>
        </w:rPr>
        <w:t>ematic</w:t>
      </w:r>
      <w:r w:rsidRPr="090C4359" w:rsidR="00A74E77">
        <w:rPr>
          <w:rFonts w:asciiTheme="minorHAnsi" w:hAnsiTheme="minorHAnsi" w:cstheme="minorBidi"/>
          <w:sz w:val="22"/>
          <w:szCs w:val="22"/>
        </w:rPr>
        <w:t xml:space="preserve"> to compel doctors to continue with treatment that</w:t>
      </w:r>
      <w:r w:rsidRPr="090C4359" w:rsidR="005C5DF0">
        <w:rPr>
          <w:rFonts w:asciiTheme="minorHAnsi" w:hAnsiTheme="minorHAnsi" w:cstheme="minorBidi"/>
          <w:sz w:val="22"/>
          <w:szCs w:val="22"/>
        </w:rPr>
        <w:t xml:space="preserve"> the court does not find to be significantly harmful but that</w:t>
      </w:r>
      <w:r w:rsidRPr="090C4359" w:rsidR="00A74E77">
        <w:rPr>
          <w:rFonts w:asciiTheme="minorHAnsi" w:hAnsiTheme="minorHAnsi" w:cstheme="minorBidi"/>
          <w:sz w:val="22"/>
          <w:szCs w:val="22"/>
        </w:rPr>
        <w:t xml:space="preserve"> they deem to be not in the child’s best interests</w:t>
      </w:r>
      <w:r w:rsidRPr="090C4359" w:rsidR="00C760C3">
        <w:rPr>
          <w:rFonts w:asciiTheme="minorHAnsi" w:hAnsiTheme="minorHAnsi" w:cstheme="minorBidi"/>
          <w:sz w:val="22"/>
          <w:szCs w:val="22"/>
        </w:rPr>
        <w:t>.</w:t>
      </w:r>
      <w:r w:rsidRPr="090C4359" w:rsidR="00F45B82">
        <w:rPr>
          <w:rStyle w:val="FootnoteReference"/>
          <w:rFonts w:asciiTheme="minorHAnsi" w:hAnsiTheme="minorHAnsi" w:cstheme="minorBidi"/>
          <w:sz w:val="22"/>
          <w:szCs w:val="22"/>
        </w:rPr>
        <w:footnoteReference w:id="380"/>
      </w:r>
      <w:r w:rsidRPr="090C4359" w:rsidR="00C760C3">
        <w:rPr>
          <w:rFonts w:asciiTheme="minorHAnsi" w:hAnsiTheme="minorHAnsi" w:cstheme="minorBidi"/>
          <w:sz w:val="22"/>
          <w:szCs w:val="22"/>
        </w:rPr>
        <w:t xml:space="preserve"> In light of this</w:t>
      </w:r>
      <w:r w:rsidRPr="090C4359" w:rsidR="000514B1">
        <w:rPr>
          <w:rFonts w:asciiTheme="minorHAnsi" w:hAnsiTheme="minorHAnsi" w:cstheme="minorBidi"/>
          <w:sz w:val="22"/>
          <w:szCs w:val="22"/>
        </w:rPr>
        <w:t>,</w:t>
      </w:r>
      <w:r w:rsidRPr="090C4359" w:rsidR="00C760C3">
        <w:rPr>
          <w:rFonts w:asciiTheme="minorHAnsi" w:hAnsiTheme="minorHAnsi" w:cstheme="minorBidi"/>
          <w:sz w:val="22"/>
          <w:szCs w:val="22"/>
        </w:rPr>
        <w:t xml:space="preserve"> he proposes a compromise position</w:t>
      </w:r>
      <w:r w:rsidRPr="090C4359" w:rsidR="000514B1">
        <w:rPr>
          <w:rFonts w:asciiTheme="minorHAnsi" w:hAnsiTheme="minorHAnsi" w:cstheme="minorBidi"/>
          <w:sz w:val="22"/>
          <w:szCs w:val="22"/>
        </w:rPr>
        <w:t xml:space="preserve"> – the “conditional harm” threshold</w:t>
      </w:r>
      <w:r w:rsidRPr="090C4359" w:rsidR="00D92324">
        <w:rPr>
          <w:rFonts w:asciiTheme="minorHAnsi" w:hAnsiTheme="minorHAnsi" w:cstheme="minorBidi"/>
          <w:sz w:val="22"/>
          <w:szCs w:val="22"/>
        </w:rPr>
        <w:t>,</w:t>
      </w:r>
      <w:r w:rsidRPr="090C4359" w:rsidR="005D475F">
        <w:rPr>
          <w:rFonts w:asciiTheme="minorHAnsi" w:hAnsiTheme="minorHAnsi" w:cstheme="minorBidi"/>
          <w:sz w:val="22"/>
          <w:szCs w:val="22"/>
        </w:rPr>
        <w:t xml:space="preserve"> </w:t>
      </w:r>
      <w:r w:rsidRPr="090C4359" w:rsidR="00666E25">
        <w:rPr>
          <w:rFonts w:asciiTheme="minorHAnsi" w:hAnsiTheme="minorHAnsi" w:cstheme="minorBidi"/>
          <w:sz w:val="22"/>
          <w:szCs w:val="22"/>
        </w:rPr>
        <w:t xml:space="preserve">to apply </w:t>
      </w:r>
      <w:r w:rsidRPr="090C4359" w:rsidR="00514C9D">
        <w:rPr>
          <w:rFonts w:asciiTheme="minorHAnsi" w:hAnsiTheme="minorHAnsi" w:cstheme="minorBidi"/>
          <w:sz w:val="22"/>
          <w:szCs w:val="22"/>
        </w:rPr>
        <w:t xml:space="preserve">in cases akin to </w:t>
      </w:r>
      <w:r w:rsidRPr="090C4359" w:rsidR="00514C9D">
        <w:rPr>
          <w:rFonts w:asciiTheme="minorHAnsi" w:hAnsiTheme="minorHAnsi" w:cstheme="minorBidi"/>
          <w:i/>
          <w:iCs/>
          <w:sz w:val="22"/>
          <w:szCs w:val="22"/>
        </w:rPr>
        <w:t>Gard</w:t>
      </w:r>
      <w:r w:rsidRPr="090C4359" w:rsidR="00514C9D">
        <w:rPr>
          <w:rFonts w:asciiTheme="minorHAnsi" w:hAnsiTheme="minorHAnsi" w:cstheme="minorBidi"/>
          <w:sz w:val="22"/>
          <w:szCs w:val="22"/>
        </w:rPr>
        <w:t xml:space="preserve"> or </w:t>
      </w:r>
      <w:r w:rsidRPr="090C4359" w:rsidR="00514C9D">
        <w:rPr>
          <w:rFonts w:asciiTheme="minorHAnsi" w:hAnsiTheme="minorHAnsi" w:cstheme="minorBidi"/>
          <w:i/>
          <w:iCs/>
          <w:sz w:val="22"/>
          <w:szCs w:val="22"/>
        </w:rPr>
        <w:t xml:space="preserve">Raqeeb </w:t>
      </w:r>
      <w:r w:rsidRPr="090C4359" w:rsidR="00514C9D">
        <w:rPr>
          <w:rFonts w:asciiTheme="minorHAnsi" w:hAnsiTheme="minorHAnsi" w:cstheme="minorBidi"/>
          <w:sz w:val="22"/>
          <w:szCs w:val="22"/>
        </w:rPr>
        <w:t>where</w:t>
      </w:r>
      <w:r w:rsidRPr="090C4359" w:rsidR="00D92324">
        <w:rPr>
          <w:rFonts w:asciiTheme="minorHAnsi" w:hAnsiTheme="minorHAnsi" w:cstheme="minorBidi"/>
          <w:sz w:val="22"/>
          <w:szCs w:val="22"/>
        </w:rPr>
        <w:t>;</w:t>
      </w:r>
      <w:r w:rsidRPr="090C4359" w:rsidR="00666E25">
        <w:rPr>
          <w:rFonts w:asciiTheme="minorHAnsi" w:hAnsiTheme="minorHAnsi" w:cstheme="minorBidi"/>
          <w:sz w:val="22"/>
          <w:szCs w:val="22"/>
        </w:rPr>
        <w:t xml:space="preserve"> 1. Parents are requesting the provision or continuation of treatment</w:t>
      </w:r>
      <w:r w:rsidRPr="090C4359" w:rsidR="00514C9D">
        <w:rPr>
          <w:rFonts w:asciiTheme="minorHAnsi" w:hAnsiTheme="minorHAnsi" w:cstheme="minorBidi"/>
          <w:sz w:val="22"/>
          <w:szCs w:val="22"/>
        </w:rPr>
        <w:t>; 2. The child’s health</w:t>
      </w:r>
      <w:r w:rsidRPr="090C4359" w:rsidR="00A2490A">
        <w:rPr>
          <w:rFonts w:asciiTheme="minorHAnsi" w:hAnsiTheme="minorHAnsi" w:cstheme="minorBidi"/>
          <w:sz w:val="22"/>
          <w:szCs w:val="22"/>
        </w:rPr>
        <w:t>care professionals do not support the treatment; and 3.Other suitably qualified healthcare professionals</w:t>
      </w:r>
      <w:r w:rsidRPr="090C4359" w:rsidR="000514B1">
        <w:rPr>
          <w:rFonts w:asciiTheme="minorHAnsi" w:hAnsiTheme="minorHAnsi" w:cstheme="minorBidi"/>
          <w:sz w:val="22"/>
          <w:szCs w:val="22"/>
        </w:rPr>
        <w:t xml:space="preserve"> </w:t>
      </w:r>
      <w:r w:rsidRPr="090C4359" w:rsidR="005E24D1">
        <w:rPr>
          <w:rFonts w:asciiTheme="minorHAnsi" w:hAnsiTheme="minorHAnsi" w:cstheme="minorBidi"/>
          <w:sz w:val="22"/>
          <w:szCs w:val="22"/>
        </w:rPr>
        <w:t xml:space="preserve">are prepared to provide treatments and ongoing care, including transfer to their facility. If all </w:t>
      </w:r>
      <w:r w:rsidRPr="090C4359" w:rsidR="00B705F9">
        <w:rPr>
          <w:rFonts w:asciiTheme="minorHAnsi" w:hAnsiTheme="minorHAnsi" w:cstheme="minorBidi"/>
          <w:sz w:val="22"/>
          <w:szCs w:val="22"/>
        </w:rPr>
        <w:t>three</w:t>
      </w:r>
      <w:r w:rsidRPr="090C4359" w:rsidR="005E24D1">
        <w:rPr>
          <w:rFonts w:asciiTheme="minorHAnsi" w:hAnsiTheme="minorHAnsi" w:cstheme="minorBidi"/>
          <w:sz w:val="22"/>
          <w:szCs w:val="22"/>
        </w:rPr>
        <w:t xml:space="preserve"> of these conditions are met, the parental request should </w:t>
      </w:r>
      <w:r w:rsidRPr="090C4359" w:rsidR="00D517D8">
        <w:rPr>
          <w:rFonts w:asciiTheme="minorHAnsi" w:hAnsiTheme="minorHAnsi" w:cstheme="minorBidi"/>
          <w:sz w:val="22"/>
          <w:szCs w:val="22"/>
        </w:rPr>
        <w:t>‘ordinar</w:t>
      </w:r>
      <w:r w:rsidRPr="090C4359" w:rsidR="00BD5DD8">
        <w:rPr>
          <w:rFonts w:asciiTheme="minorHAnsi" w:hAnsiTheme="minorHAnsi" w:cstheme="minorBidi"/>
          <w:sz w:val="22"/>
          <w:szCs w:val="22"/>
        </w:rPr>
        <w:t>ily</w:t>
      </w:r>
      <w:r w:rsidRPr="090C4359" w:rsidR="00D517D8">
        <w:rPr>
          <w:rFonts w:asciiTheme="minorHAnsi" w:hAnsiTheme="minorHAnsi" w:cstheme="minorBidi"/>
          <w:sz w:val="22"/>
          <w:szCs w:val="22"/>
        </w:rPr>
        <w:t xml:space="preserve"> be respected’ unless it will cause or risk causing significant harm to the child. </w:t>
      </w:r>
      <w:r w:rsidRPr="090C4359" w:rsidR="00D517D8">
        <w:rPr>
          <w:rStyle w:val="FootnoteReference"/>
          <w:rFonts w:asciiTheme="minorHAnsi" w:hAnsiTheme="minorHAnsi" w:cstheme="minorBidi"/>
          <w:sz w:val="22"/>
          <w:szCs w:val="22"/>
        </w:rPr>
        <w:footnoteReference w:id="381"/>
      </w:r>
      <w:r w:rsidRPr="090C4359" w:rsidR="00B705F9">
        <w:rPr>
          <w:rFonts w:asciiTheme="minorHAnsi" w:hAnsiTheme="minorHAnsi" w:cstheme="minorBidi"/>
          <w:sz w:val="22"/>
          <w:szCs w:val="22"/>
        </w:rPr>
        <w:t xml:space="preserve"> He does however concede that the application of the conditional harm t</w:t>
      </w:r>
      <w:r w:rsidRPr="090C4359" w:rsidR="00585362">
        <w:rPr>
          <w:rFonts w:asciiTheme="minorHAnsi" w:hAnsiTheme="minorHAnsi" w:cstheme="minorBidi"/>
          <w:sz w:val="22"/>
          <w:szCs w:val="22"/>
        </w:rPr>
        <w:t>hreshold</w:t>
      </w:r>
      <w:r w:rsidRPr="090C4359" w:rsidR="00B705F9">
        <w:rPr>
          <w:rFonts w:asciiTheme="minorHAnsi" w:hAnsiTheme="minorHAnsi" w:cstheme="minorBidi"/>
          <w:sz w:val="22"/>
          <w:szCs w:val="22"/>
        </w:rPr>
        <w:t xml:space="preserve"> will very much turn on how “harm” is </w:t>
      </w:r>
      <w:r w:rsidRPr="090C4359" w:rsidR="00131ADB">
        <w:rPr>
          <w:rFonts w:asciiTheme="minorHAnsi" w:hAnsiTheme="minorHAnsi" w:cstheme="minorBidi"/>
          <w:sz w:val="22"/>
          <w:szCs w:val="22"/>
        </w:rPr>
        <w:t>defined by the courts, and as discussed above, whether it would turn solely on pain/suffering</w:t>
      </w:r>
      <w:r w:rsidRPr="090C4359" w:rsidR="00865DEA">
        <w:rPr>
          <w:rFonts w:asciiTheme="minorHAnsi" w:hAnsiTheme="minorHAnsi" w:cstheme="minorBidi"/>
          <w:sz w:val="22"/>
          <w:szCs w:val="22"/>
        </w:rPr>
        <w:t xml:space="preserve"> or whether it would include more “intangible” harms</w:t>
      </w:r>
      <w:r w:rsidRPr="090C4359" w:rsidR="00931AFB">
        <w:rPr>
          <w:rFonts w:asciiTheme="minorHAnsi" w:hAnsiTheme="minorHAnsi" w:cstheme="minorBidi"/>
          <w:sz w:val="22"/>
          <w:szCs w:val="22"/>
        </w:rPr>
        <w:t>,</w:t>
      </w:r>
      <w:r w:rsidRPr="090C4359" w:rsidR="00865DEA">
        <w:rPr>
          <w:rFonts w:asciiTheme="minorHAnsi" w:hAnsiTheme="minorHAnsi" w:cstheme="minorBidi"/>
          <w:sz w:val="22"/>
          <w:szCs w:val="22"/>
        </w:rPr>
        <w:t xml:space="preserve"> such</w:t>
      </w:r>
      <w:r w:rsidRPr="090C4359" w:rsidR="00931AFB">
        <w:rPr>
          <w:rFonts w:asciiTheme="minorHAnsi" w:hAnsiTheme="minorHAnsi" w:cstheme="minorBidi"/>
          <w:sz w:val="22"/>
          <w:szCs w:val="22"/>
        </w:rPr>
        <w:t xml:space="preserve"> as</w:t>
      </w:r>
      <w:r w:rsidRPr="090C4359" w:rsidR="00CD346F">
        <w:rPr>
          <w:rFonts w:asciiTheme="minorHAnsi" w:hAnsiTheme="minorHAnsi" w:cstheme="minorBidi"/>
          <w:sz w:val="22"/>
          <w:szCs w:val="22"/>
        </w:rPr>
        <w:t xml:space="preserve"> the indignity caused </w:t>
      </w:r>
      <w:r w:rsidRPr="090C4359" w:rsidR="001B0F25">
        <w:rPr>
          <w:rFonts w:asciiTheme="minorHAnsi" w:hAnsiTheme="minorHAnsi" w:cstheme="minorBidi"/>
          <w:sz w:val="22"/>
          <w:szCs w:val="22"/>
        </w:rPr>
        <w:t>by</w:t>
      </w:r>
      <w:r w:rsidRPr="090C4359" w:rsidR="00865DEA">
        <w:rPr>
          <w:rFonts w:asciiTheme="minorHAnsi" w:hAnsiTheme="minorHAnsi" w:cstheme="minorBidi"/>
          <w:sz w:val="22"/>
          <w:szCs w:val="22"/>
        </w:rPr>
        <w:t xml:space="preserve"> </w:t>
      </w:r>
      <w:r w:rsidRPr="090C4359" w:rsidR="00414583">
        <w:rPr>
          <w:rFonts w:asciiTheme="minorHAnsi" w:hAnsiTheme="minorHAnsi" w:cstheme="minorBidi"/>
          <w:sz w:val="22"/>
          <w:szCs w:val="22"/>
        </w:rPr>
        <w:t>prolonging death through continued treatme</w:t>
      </w:r>
      <w:r w:rsidRPr="090C4359" w:rsidR="001B0F25">
        <w:rPr>
          <w:rFonts w:asciiTheme="minorHAnsi" w:hAnsiTheme="minorHAnsi" w:cstheme="minorBidi"/>
          <w:sz w:val="22"/>
          <w:szCs w:val="22"/>
        </w:rPr>
        <w:t>nt</w:t>
      </w:r>
      <w:r w:rsidRPr="090C4359" w:rsidR="00414583">
        <w:rPr>
          <w:rFonts w:asciiTheme="minorHAnsi" w:hAnsiTheme="minorHAnsi" w:cstheme="minorBidi"/>
          <w:sz w:val="22"/>
          <w:szCs w:val="22"/>
        </w:rPr>
        <w:t>.</w:t>
      </w:r>
      <w:r w:rsidRPr="090C4359" w:rsidR="00414583">
        <w:rPr>
          <w:rStyle w:val="FootnoteReference"/>
          <w:rFonts w:asciiTheme="minorHAnsi" w:hAnsiTheme="minorHAnsi" w:cstheme="minorBidi"/>
          <w:sz w:val="22"/>
          <w:szCs w:val="22"/>
        </w:rPr>
        <w:footnoteReference w:id="382"/>
      </w:r>
    </w:p>
    <w:p w:rsidRPr="00666EC3" w:rsidR="003D73BD" w:rsidP="003D73BD" w:rsidRDefault="003D73BD" w14:paraId="328CA552" w14:textId="77777777">
      <w:pPr>
        <w:pStyle w:val="Normal0"/>
        <w:ind w:left="720"/>
        <w:rPr>
          <w:rFonts w:asciiTheme="minorHAnsi" w:hAnsiTheme="minorHAnsi" w:cstheme="minorHAnsi"/>
          <w:sz w:val="22"/>
          <w:szCs w:val="22"/>
        </w:rPr>
      </w:pPr>
    </w:p>
    <w:p w:rsidRPr="000B15A2" w:rsidR="000D224D" w:rsidP="0072154C" w:rsidRDefault="000D224D" w14:paraId="43B6137D" w14:textId="25022240">
      <w:pPr>
        <w:pStyle w:val="Normal0"/>
        <w:numPr>
          <w:ilvl w:val="0"/>
          <w:numId w:val="2"/>
        </w:numPr>
        <w:jc w:val="both"/>
        <w:rPr>
          <w:rFonts w:asciiTheme="minorHAnsi" w:hAnsiTheme="minorHAnsi" w:cstheme="minorHAnsi"/>
          <w:sz w:val="22"/>
          <w:szCs w:val="22"/>
        </w:rPr>
      </w:pPr>
      <w:r w:rsidRPr="090C4359">
        <w:rPr>
          <w:rFonts w:asciiTheme="minorHAnsi" w:hAnsiTheme="minorHAnsi" w:cstheme="minorBidi"/>
          <w:sz w:val="22"/>
          <w:szCs w:val="22"/>
        </w:rPr>
        <w:t xml:space="preserve">Bridgeman offers a new perspective and </w:t>
      </w:r>
      <w:r w:rsidRPr="090C4359" w:rsidR="000123B9">
        <w:rPr>
          <w:rFonts w:asciiTheme="minorHAnsi" w:hAnsiTheme="minorHAnsi" w:cstheme="minorBidi"/>
          <w:sz w:val="22"/>
          <w:szCs w:val="22"/>
        </w:rPr>
        <w:t>reconceives</w:t>
      </w:r>
      <w:r w:rsidRPr="090C4359">
        <w:rPr>
          <w:rFonts w:asciiTheme="minorHAnsi" w:hAnsiTheme="minorHAnsi" w:cstheme="minorBidi"/>
          <w:sz w:val="22"/>
          <w:szCs w:val="22"/>
        </w:rPr>
        <w:t xml:space="preserve"> many of the recent high</w:t>
      </w:r>
      <w:r w:rsidRPr="090C4359" w:rsidR="005E7BB0">
        <w:rPr>
          <w:rFonts w:asciiTheme="minorHAnsi" w:hAnsiTheme="minorHAnsi" w:cstheme="minorBidi"/>
          <w:sz w:val="22"/>
          <w:szCs w:val="22"/>
        </w:rPr>
        <w:t>-</w:t>
      </w:r>
      <w:r w:rsidRPr="090C4359">
        <w:rPr>
          <w:rFonts w:asciiTheme="minorHAnsi" w:hAnsiTheme="minorHAnsi" w:cstheme="minorBidi"/>
          <w:sz w:val="22"/>
          <w:szCs w:val="22"/>
        </w:rPr>
        <w:t>profile cases</w:t>
      </w:r>
      <w:r w:rsidRPr="090C4359" w:rsidR="000123B9">
        <w:rPr>
          <w:rFonts w:asciiTheme="minorHAnsi" w:hAnsiTheme="minorHAnsi" w:cstheme="minorBidi"/>
          <w:sz w:val="22"/>
          <w:szCs w:val="22"/>
        </w:rPr>
        <w:t xml:space="preserve"> </w:t>
      </w:r>
      <w:r w:rsidRPr="090C4359" w:rsidR="003D73BD">
        <w:rPr>
          <w:rFonts w:asciiTheme="minorHAnsi" w:hAnsiTheme="minorHAnsi" w:cstheme="minorBidi"/>
          <w:sz w:val="22"/>
          <w:szCs w:val="22"/>
        </w:rPr>
        <w:t>turning on an issue “beyond</w:t>
      </w:r>
      <w:r w:rsidRPr="090C4359" w:rsidR="000123B9">
        <w:rPr>
          <w:rFonts w:asciiTheme="minorHAnsi" w:hAnsiTheme="minorHAnsi" w:cstheme="minorBidi"/>
          <w:sz w:val="22"/>
          <w:szCs w:val="22"/>
        </w:rPr>
        <w:t xml:space="preserve"> best interests</w:t>
      </w:r>
      <w:r w:rsidRPr="090C4359" w:rsidR="003D73BD">
        <w:rPr>
          <w:rFonts w:asciiTheme="minorHAnsi" w:hAnsiTheme="minorHAnsi" w:cstheme="minorBidi"/>
          <w:sz w:val="22"/>
          <w:szCs w:val="22"/>
        </w:rPr>
        <w:t>”</w:t>
      </w:r>
      <w:r w:rsidRPr="090C4359" w:rsidR="000123B9">
        <w:rPr>
          <w:rFonts w:asciiTheme="minorHAnsi" w:hAnsiTheme="minorHAnsi" w:cstheme="minorBidi"/>
          <w:sz w:val="22"/>
          <w:szCs w:val="22"/>
        </w:rPr>
        <w:t xml:space="preserve"> </w:t>
      </w:r>
      <w:r w:rsidRPr="090C4359" w:rsidR="003D73BD">
        <w:rPr>
          <w:rFonts w:asciiTheme="minorHAnsi" w:hAnsiTheme="minorHAnsi" w:cstheme="minorBidi"/>
          <w:sz w:val="22"/>
          <w:szCs w:val="22"/>
        </w:rPr>
        <w:t>-</w:t>
      </w:r>
      <w:r w:rsidRPr="090C4359" w:rsidR="000123B9">
        <w:rPr>
          <w:rFonts w:asciiTheme="minorHAnsi" w:hAnsiTheme="minorHAnsi" w:cstheme="minorBidi"/>
          <w:sz w:val="22"/>
          <w:szCs w:val="22"/>
        </w:rPr>
        <w:t xml:space="preserve"> the limits of “professional conscience”.</w:t>
      </w:r>
      <w:r w:rsidRPr="090C4359" w:rsidR="003D73BD">
        <w:rPr>
          <w:rStyle w:val="FootnoteReference"/>
          <w:rFonts w:asciiTheme="minorHAnsi" w:hAnsiTheme="minorHAnsi" w:cstheme="minorBidi"/>
          <w:sz w:val="22"/>
          <w:szCs w:val="22"/>
        </w:rPr>
        <w:footnoteReference w:id="383"/>
      </w:r>
      <w:r w:rsidRPr="090C4359" w:rsidR="000123B9">
        <w:rPr>
          <w:rFonts w:asciiTheme="minorHAnsi" w:hAnsiTheme="minorHAnsi" w:cstheme="minorBidi"/>
          <w:sz w:val="22"/>
          <w:szCs w:val="22"/>
        </w:rPr>
        <w:t xml:space="preserve"> Smith’s definition of </w:t>
      </w:r>
      <w:r w:rsidRPr="090C4359" w:rsidR="00D02EA7">
        <w:rPr>
          <w:rFonts w:asciiTheme="minorHAnsi" w:hAnsiTheme="minorHAnsi" w:cstheme="minorBidi"/>
          <w:sz w:val="22"/>
          <w:szCs w:val="22"/>
        </w:rPr>
        <w:t xml:space="preserve">professional conscience as being distinct from moral conscience, but </w:t>
      </w:r>
      <w:r w:rsidRPr="090C4359" w:rsidR="00ED67A5">
        <w:rPr>
          <w:rFonts w:asciiTheme="minorHAnsi" w:hAnsiTheme="minorHAnsi" w:cstheme="minorBidi"/>
          <w:sz w:val="22"/>
          <w:szCs w:val="22"/>
        </w:rPr>
        <w:t>including moral values</w:t>
      </w:r>
      <w:r w:rsidRPr="090C4359" w:rsidR="00E5044E">
        <w:rPr>
          <w:rFonts w:asciiTheme="minorHAnsi" w:hAnsiTheme="minorHAnsi" w:cstheme="minorBidi"/>
          <w:sz w:val="22"/>
          <w:szCs w:val="22"/>
        </w:rPr>
        <w:t>, being owned by the individual and relating to their conduct</w:t>
      </w:r>
      <w:r w:rsidRPr="090C4359" w:rsidR="00DF4C6F">
        <w:rPr>
          <w:rFonts w:asciiTheme="minorHAnsi" w:hAnsiTheme="minorHAnsi" w:cstheme="minorBidi"/>
          <w:sz w:val="22"/>
          <w:szCs w:val="22"/>
        </w:rPr>
        <w:t>.</w:t>
      </w:r>
      <w:r w:rsidRPr="090C4359" w:rsidR="00E5044E">
        <w:rPr>
          <w:rStyle w:val="FootnoteReference"/>
          <w:rFonts w:asciiTheme="minorHAnsi" w:hAnsiTheme="minorHAnsi" w:cstheme="minorBidi"/>
          <w:sz w:val="22"/>
          <w:szCs w:val="22"/>
        </w:rPr>
        <w:footnoteReference w:id="384"/>
      </w:r>
      <w:r w:rsidRPr="090C4359" w:rsidR="00E5044E">
        <w:rPr>
          <w:rFonts w:asciiTheme="minorHAnsi" w:hAnsiTheme="minorHAnsi" w:cstheme="minorBidi"/>
          <w:sz w:val="22"/>
          <w:szCs w:val="22"/>
        </w:rPr>
        <w:t xml:space="preserve"> </w:t>
      </w:r>
      <w:r w:rsidRPr="090C4359" w:rsidR="00DF4C6F">
        <w:rPr>
          <w:rFonts w:asciiTheme="minorHAnsi" w:hAnsiTheme="minorHAnsi" w:cstheme="minorBidi"/>
          <w:sz w:val="22"/>
          <w:szCs w:val="22"/>
        </w:rPr>
        <w:t xml:space="preserve">Her </w:t>
      </w:r>
      <w:r w:rsidRPr="090C4359" w:rsidR="00E5044E">
        <w:rPr>
          <w:rFonts w:asciiTheme="minorHAnsi" w:hAnsiTheme="minorHAnsi" w:cstheme="minorBidi"/>
          <w:sz w:val="22"/>
          <w:szCs w:val="22"/>
        </w:rPr>
        <w:t>conten</w:t>
      </w:r>
      <w:r w:rsidRPr="090C4359" w:rsidR="00DF4C6F">
        <w:rPr>
          <w:rFonts w:asciiTheme="minorHAnsi" w:hAnsiTheme="minorHAnsi" w:cstheme="minorBidi"/>
          <w:sz w:val="22"/>
          <w:szCs w:val="22"/>
        </w:rPr>
        <w:t>tion is</w:t>
      </w:r>
      <w:r w:rsidRPr="090C4359" w:rsidR="00E5044E">
        <w:rPr>
          <w:rFonts w:asciiTheme="minorHAnsi" w:hAnsiTheme="minorHAnsi" w:cstheme="minorBidi"/>
          <w:sz w:val="22"/>
          <w:szCs w:val="22"/>
        </w:rPr>
        <w:t xml:space="preserve"> that in practice disputes over the </w:t>
      </w:r>
      <w:r w:rsidRPr="090C4359" w:rsidR="0083209C">
        <w:rPr>
          <w:rFonts w:asciiTheme="minorHAnsi" w:hAnsiTheme="minorHAnsi" w:cstheme="minorBidi"/>
          <w:sz w:val="22"/>
          <w:szCs w:val="22"/>
        </w:rPr>
        <w:t xml:space="preserve">continuation of life-sustaining treatment are only referred to court when </w:t>
      </w:r>
      <w:r w:rsidRPr="090C4359" w:rsidR="00F74383">
        <w:rPr>
          <w:rFonts w:asciiTheme="minorHAnsi" w:hAnsiTheme="minorHAnsi" w:cstheme="minorBidi"/>
          <w:sz w:val="22"/>
          <w:szCs w:val="22"/>
        </w:rPr>
        <w:t xml:space="preserve">doctors drawing on technical expertise, </w:t>
      </w:r>
      <w:r w:rsidRPr="090C4359" w:rsidR="007B5DA9">
        <w:rPr>
          <w:rFonts w:asciiTheme="minorHAnsi" w:hAnsiTheme="minorHAnsi" w:cstheme="minorBidi"/>
          <w:sz w:val="22"/>
          <w:szCs w:val="22"/>
        </w:rPr>
        <w:t xml:space="preserve">professional guidance and supported by the opinions of other </w:t>
      </w:r>
      <w:r w:rsidRPr="090C4359" w:rsidR="002E1A41">
        <w:rPr>
          <w:rFonts w:asciiTheme="minorHAnsi" w:hAnsiTheme="minorHAnsi" w:cstheme="minorBidi"/>
          <w:sz w:val="22"/>
          <w:szCs w:val="22"/>
        </w:rPr>
        <w:t>colleagues, ‘have reached the limits of what is</w:t>
      </w:r>
      <w:r w:rsidRPr="090C4359" w:rsidR="002E1A41">
        <w:rPr>
          <w:rFonts w:asciiTheme="minorHAnsi" w:hAnsiTheme="minorHAnsi" w:cstheme="minorBidi"/>
        </w:rPr>
        <w:t xml:space="preserve"> </w:t>
      </w:r>
      <w:r w:rsidRPr="090C4359" w:rsidR="002E1A41">
        <w:rPr>
          <w:rFonts w:asciiTheme="minorHAnsi" w:hAnsiTheme="minorHAnsi" w:cstheme="minorBidi"/>
          <w:sz w:val="22"/>
          <w:szCs w:val="22"/>
        </w:rPr>
        <w:t>professionally con</w:t>
      </w:r>
      <w:r w:rsidRPr="090C4359" w:rsidR="00A47224">
        <w:rPr>
          <w:rFonts w:asciiTheme="minorHAnsi" w:hAnsiTheme="minorHAnsi" w:cstheme="minorBidi"/>
          <w:sz w:val="22"/>
          <w:szCs w:val="22"/>
        </w:rPr>
        <w:t>scionable’.</w:t>
      </w:r>
      <w:r w:rsidRPr="090C4359" w:rsidR="00A47224">
        <w:rPr>
          <w:rStyle w:val="FootnoteReference"/>
          <w:rFonts w:asciiTheme="minorHAnsi" w:hAnsiTheme="minorHAnsi" w:cstheme="minorBidi"/>
          <w:sz w:val="22"/>
          <w:szCs w:val="22"/>
        </w:rPr>
        <w:footnoteReference w:id="385"/>
      </w:r>
      <w:r w:rsidRPr="090C4359" w:rsidR="005E7BB0">
        <w:rPr>
          <w:rFonts w:asciiTheme="minorHAnsi" w:hAnsiTheme="minorHAnsi" w:cstheme="minorBidi"/>
          <w:sz w:val="22"/>
          <w:szCs w:val="22"/>
        </w:rPr>
        <w:t xml:space="preserve"> </w:t>
      </w:r>
      <w:r w:rsidRPr="090C4359" w:rsidR="0039525B">
        <w:rPr>
          <w:rFonts w:asciiTheme="minorHAnsi" w:hAnsiTheme="minorHAnsi" w:cstheme="minorBidi"/>
          <w:sz w:val="22"/>
          <w:szCs w:val="22"/>
        </w:rPr>
        <w:t xml:space="preserve">Adopting this different perspective of decision-making would </w:t>
      </w:r>
      <w:r w:rsidRPr="090C4359" w:rsidR="004017C8">
        <w:rPr>
          <w:rFonts w:asciiTheme="minorHAnsi" w:hAnsiTheme="minorHAnsi" w:cstheme="minorBidi"/>
          <w:sz w:val="22"/>
          <w:szCs w:val="22"/>
        </w:rPr>
        <w:t>be significant in better helping parents understand why judges more often</w:t>
      </w:r>
      <w:r w:rsidRPr="090C4359" w:rsidR="00323D20">
        <w:rPr>
          <w:rFonts w:asciiTheme="minorHAnsi" w:hAnsiTheme="minorHAnsi" w:cstheme="minorBidi"/>
          <w:sz w:val="22"/>
          <w:szCs w:val="22"/>
        </w:rPr>
        <w:t xml:space="preserve"> agree with doctors rather than parents</w:t>
      </w:r>
      <w:r w:rsidRPr="090C4359" w:rsidR="00927E2A">
        <w:rPr>
          <w:rFonts w:asciiTheme="minorHAnsi" w:hAnsiTheme="minorHAnsi" w:cstheme="minorBidi"/>
          <w:sz w:val="22"/>
          <w:szCs w:val="22"/>
        </w:rPr>
        <w:t xml:space="preserve">. It </w:t>
      </w:r>
      <w:r w:rsidRPr="090C4359" w:rsidR="00323D20">
        <w:rPr>
          <w:rFonts w:asciiTheme="minorHAnsi" w:hAnsiTheme="minorHAnsi" w:cstheme="minorBidi"/>
          <w:sz w:val="22"/>
          <w:szCs w:val="22"/>
        </w:rPr>
        <w:t xml:space="preserve">would offer an explanation </w:t>
      </w:r>
      <w:r w:rsidRPr="090C4359" w:rsidR="005E1A91">
        <w:rPr>
          <w:rFonts w:asciiTheme="minorHAnsi" w:hAnsiTheme="minorHAnsi" w:cstheme="minorBidi"/>
          <w:sz w:val="22"/>
          <w:szCs w:val="22"/>
        </w:rPr>
        <w:t>as to why treatment cannot continue</w:t>
      </w:r>
      <w:r w:rsidRPr="090C4359" w:rsidR="00927E2A">
        <w:rPr>
          <w:rFonts w:asciiTheme="minorHAnsi" w:hAnsiTheme="minorHAnsi" w:cstheme="minorBidi"/>
          <w:sz w:val="22"/>
          <w:szCs w:val="22"/>
        </w:rPr>
        <w:t>,</w:t>
      </w:r>
      <w:r w:rsidRPr="090C4359" w:rsidR="005E1A91">
        <w:rPr>
          <w:rFonts w:asciiTheme="minorHAnsi" w:hAnsiTheme="minorHAnsi" w:cstheme="minorBidi"/>
          <w:sz w:val="22"/>
          <w:szCs w:val="22"/>
        </w:rPr>
        <w:t xml:space="preserve"> that may help parents understand the limits of what is possible and therefore avert court action, and </w:t>
      </w:r>
      <w:r w:rsidRPr="090C4359" w:rsidR="00787AC5">
        <w:rPr>
          <w:rFonts w:asciiTheme="minorHAnsi" w:hAnsiTheme="minorHAnsi" w:cstheme="minorBidi"/>
          <w:sz w:val="22"/>
          <w:szCs w:val="22"/>
        </w:rPr>
        <w:t>better frame inevitably di</w:t>
      </w:r>
      <w:r w:rsidRPr="090C4359" w:rsidR="0035408A">
        <w:rPr>
          <w:rFonts w:asciiTheme="minorHAnsi" w:hAnsiTheme="minorHAnsi" w:cstheme="minorBidi"/>
          <w:sz w:val="22"/>
          <w:szCs w:val="22"/>
        </w:rPr>
        <w:t>stressing consequences of court decisions, as o</w:t>
      </w:r>
      <w:r w:rsidRPr="090C4359" w:rsidR="005F4163">
        <w:rPr>
          <w:rFonts w:asciiTheme="minorHAnsi" w:hAnsiTheme="minorHAnsi" w:cstheme="minorBidi"/>
          <w:sz w:val="22"/>
          <w:szCs w:val="22"/>
        </w:rPr>
        <w:t>nes of professional impossibility, rather than what is “best”.</w:t>
      </w:r>
      <w:r w:rsidRPr="090C4359" w:rsidR="005F4163">
        <w:rPr>
          <w:rStyle w:val="FootnoteReference"/>
          <w:rFonts w:asciiTheme="minorHAnsi" w:hAnsiTheme="minorHAnsi" w:cstheme="minorBidi"/>
          <w:sz w:val="22"/>
          <w:szCs w:val="22"/>
        </w:rPr>
        <w:footnoteReference w:id="386"/>
      </w:r>
    </w:p>
    <w:p w:rsidRPr="000B15A2" w:rsidR="00464744" w:rsidP="00464744" w:rsidRDefault="00464744" w14:paraId="36D22B77" w14:textId="77777777">
      <w:pPr>
        <w:pStyle w:val="Normal0"/>
        <w:ind w:left="720"/>
        <w:rPr>
          <w:rFonts w:asciiTheme="minorHAnsi" w:hAnsiTheme="minorHAnsi" w:cstheme="minorHAnsi"/>
          <w:sz w:val="22"/>
          <w:szCs w:val="22"/>
        </w:rPr>
      </w:pPr>
    </w:p>
    <w:p w:rsidRPr="006F5790" w:rsidR="007300F3" w:rsidP="0072154C" w:rsidRDefault="00550946" w14:paraId="3DA07430" w14:textId="3E17AD01">
      <w:pPr>
        <w:pStyle w:val="Normal0"/>
        <w:numPr>
          <w:ilvl w:val="0"/>
          <w:numId w:val="2"/>
        </w:numPr>
        <w:jc w:val="both"/>
        <w:rPr>
          <w:rFonts w:asciiTheme="minorHAnsi" w:hAnsiTheme="minorHAnsi" w:cstheme="minorHAnsi"/>
          <w:sz w:val="22"/>
          <w:szCs w:val="22"/>
        </w:rPr>
      </w:pPr>
      <w:r w:rsidRPr="090C4359">
        <w:rPr>
          <w:rFonts w:asciiTheme="minorHAnsi" w:hAnsiTheme="minorHAnsi" w:cstheme="minorBidi"/>
          <w:sz w:val="22"/>
          <w:szCs w:val="22"/>
        </w:rPr>
        <w:t>Birchley highlights the need for</w:t>
      </w:r>
      <w:r w:rsidRPr="090C4359" w:rsidR="004D2C92">
        <w:rPr>
          <w:rFonts w:asciiTheme="minorHAnsi" w:hAnsiTheme="minorHAnsi" w:cstheme="minorBidi"/>
          <w:sz w:val="22"/>
          <w:szCs w:val="22"/>
        </w:rPr>
        <w:t xml:space="preserve"> more research on the interaction between policy and practice</w:t>
      </w:r>
      <w:r w:rsidRPr="090C4359" w:rsidR="006E01D9">
        <w:rPr>
          <w:rFonts w:asciiTheme="minorHAnsi" w:hAnsiTheme="minorHAnsi" w:cstheme="minorBidi"/>
          <w:sz w:val="22"/>
          <w:szCs w:val="22"/>
        </w:rPr>
        <w:t xml:space="preserve"> on best interests</w:t>
      </w:r>
      <w:r w:rsidRPr="090C4359">
        <w:rPr>
          <w:rFonts w:asciiTheme="minorHAnsi" w:hAnsiTheme="minorHAnsi" w:cstheme="minorBidi"/>
          <w:sz w:val="22"/>
          <w:szCs w:val="22"/>
        </w:rPr>
        <w:t>, pointing to the ‘</w:t>
      </w:r>
      <w:r w:rsidRPr="090C4359" w:rsidR="004D2C92">
        <w:rPr>
          <w:rFonts w:asciiTheme="minorHAnsi" w:hAnsiTheme="minorHAnsi" w:cstheme="minorBidi"/>
          <w:sz w:val="22"/>
          <w:szCs w:val="22"/>
        </w:rPr>
        <w:t>dearth of empirical research into practice and in a range of settings to capture everyday experience</w:t>
      </w:r>
      <w:r w:rsidRPr="090C4359">
        <w:rPr>
          <w:rFonts w:asciiTheme="minorHAnsi" w:hAnsiTheme="minorHAnsi" w:cstheme="minorBidi"/>
          <w:sz w:val="22"/>
          <w:szCs w:val="22"/>
        </w:rPr>
        <w:t>’</w:t>
      </w:r>
      <w:r w:rsidRPr="090C4359" w:rsidR="00EF42FB">
        <w:rPr>
          <w:rFonts w:asciiTheme="minorHAnsi" w:hAnsiTheme="minorHAnsi" w:cstheme="minorBidi"/>
          <w:sz w:val="22"/>
          <w:szCs w:val="22"/>
        </w:rPr>
        <w:t>.</w:t>
      </w:r>
      <w:r w:rsidRPr="090C4359" w:rsidR="00A0728C">
        <w:rPr>
          <w:rFonts w:asciiTheme="minorHAnsi" w:hAnsiTheme="minorHAnsi" w:cstheme="minorBidi"/>
          <w:sz w:val="22"/>
          <w:szCs w:val="22"/>
        </w:rPr>
        <w:t xml:space="preserve"> </w:t>
      </w:r>
      <w:r w:rsidRPr="090C4359" w:rsidR="00A0728C">
        <w:rPr>
          <w:rStyle w:val="FootnoteReference"/>
          <w:rFonts w:asciiTheme="minorHAnsi" w:hAnsiTheme="minorHAnsi" w:cstheme="minorBidi"/>
          <w:sz w:val="22"/>
          <w:szCs w:val="22"/>
        </w:rPr>
        <w:footnoteReference w:id="387"/>
      </w:r>
      <w:r w:rsidRPr="090C4359" w:rsidR="007C273A">
        <w:rPr>
          <w:rFonts w:asciiTheme="minorHAnsi" w:hAnsiTheme="minorHAnsi" w:cstheme="minorBidi"/>
          <w:sz w:val="22"/>
          <w:szCs w:val="22"/>
        </w:rPr>
        <w:t xml:space="preserve"> </w:t>
      </w:r>
      <w:r w:rsidRPr="090C4359" w:rsidR="005248F1">
        <w:rPr>
          <w:rFonts w:asciiTheme="minorHAnsi" w:hAnsiTheme="minorHAnsi" w:cstheme="minorBidi"/>
          <w:sz w:val="22"/>
          <w:szCs w:val="22"/>
        </w:rPr>
        <w:t xml:space="preserve"> </w:t>
      </w:r>
      <w:r w:rsidRPr="090C4359" w:rsidR="00395E82">
        <w:rPr>
          <w:rFonts w:asciiTheme="minorHAnsi" w:hAnsiTheme="minorHAnsi" w:cstheme="minorBidi"/>
          <w:sz w:val="22"/>
          <w:szCs w:val="22"/>
        </w:rPr>
        <w:t>Pruski</w:t>
      </w:r>
      <w:r w:rsidRPr="090C4359" w:rsidR="00D9105E">
        <w:rPr>
          <w:rFonts w:asciiTheme="minorHAnsi" w:hAnsiTheme="minorHAnsi" w:cstheme="minorBidi"/>
          <w:sz w:val="22"/>
          <w:szCs w:val="22"/>
        </w:rPr>
        <w:t>’s answer would be that</w:t>
      </w:r>
      <w:r w:rsidRPr="090C4359" w:rsidR="00395E82">
        <w:rPr>
          <w:rFonts w:asciiTheme="minorHAnsi" w:hAnsiTheme="minorHAnsi" w:cstheme="minorBidi"/>
          <w:sz w:val="22"/>
          <w:szCs w:val="22"/>
        </w:rPr>
        <w:t xml:space="preserve"> </w:t>
      </w:r>
      <w:r w:rsidRPr="090C4359" w:rsidR="00603657">
        <w:rPr>
          <w:rFonts w:asciiTheme="minorHAnsi" w:hAnsiTheme="minorHAnsi" w:cstheme="minorBidi"/>
          <w:sz w:val="22"/>
          <w:szCs w:val="22"/>
        </w:rPr>
        <w:t xml:space="preserve">‘from </w:t>
      </w:r>
      <w:r w:rsidRPr="090C4359" w:rsidR="00395E82">
        <w:rPr>
          <w:rFonts w:asciiTheme="minorHAnsi" w:hAnsiTheme="minorHAnsi" w:cstheme="minorBidi"/>
          <w:sz w:val="22"/>
          <w:szCs w:val="22"/>
        </w:rPr>
        <w:t>the perspective of a liberal and secular state</w:t>
      </w:r>
      <w:r w:rsidRPr="090C4359" w:rsidR="00603657">
        <w:rPr>
          <w:rFonts w:asciiTheme="minorHAnsi" w:hAnsiTheme="minorHAnsi" w:cstheme="minorBidi"/>
          <w:sz w:val="22"/>
          <w:szCs w:val="22"/>
        </w:rPr>
        <w:t xml:space="preserve">’ the reasonable parent </w:t>
      </w:r>
      <w:r w:rsidRPr="090C4359" w:rsidR="00827BEF">
        <w:rPr>
          <w:rFonts w:asciiTheme="minorHAnsi" w:hAnsiTheme="minorHAnsi" w:cstheme="minorBidi"/>
          <w:sz w:val="22"/>
          <w:szCs w:val="22"/>
        </w:rPr>
        <w:t>view supported by a com</w:t>
      </w:r>
      <w:r w:rsidRPr="090C4359" w:rsidR="007C273A">
        <w:rPr>
          <w:rFonts w:asciiTheme="minorHAnsi" w:hAnsiTheme="minorHAnsi" w:cstheme="minorBidi"/>
          <w:sz w:val="22"/>
          <w:szCs w:val="22"/>
        </w:rPr>
        <w:t>petent</w:t>
      </w:r>
      <w:r w:rsidRPr="090C4359" w:rsidR="00827BEF">
        <w:rPr>
          <w:rFonts w:asciiTheme="minorHAnsi" w:hAnsiTheme="minorHAnsi" w:cstheme="minorBidi"/>
          <w:sz w:val="22"/>
          <w:szCs w:val="22"/>
        </w:rPr>
        <w:t xml:space="preserve"> body of medical opinion</w:t>
      </w:r>
      <w:r w:rsidRPr="090C4359" w:rsidR="00395E82">
        <w:rPr>
          <w:rFonts w:asciiTheme="minorHAnsi" w:hAnsiTheme="minorHAnsi" w:cstheme="minorBidi"/>
          <w:sz w:val="22"/>
          <w:szCs w:val="22"/>
        </w:rPr>
        <w:t xml:space="preserve"> </w:t>
      </w:r>
      <w:r w:rsidRPr="090C4359" w:rsidR="007C273A">
        <w:rPr>
          <w:rFonts w:asciiTheme="minorHAnsi" w:hAnsiTheme="minorHAnsi" w:cstheme="minorBidi"/>
          <w:sz w:val="22"/>
          <w:szCs w:val="22"/>
        </w:rPr>
        <w:t>‘</w:t>
      </w:r>
      <w:r w:rsidRPr="090C4359" w:rsidR="00395E82">
        <w:rPr>
          <w:rFonts w:asciiTheme="minorHAnsi" w:hAnsiTheme="minorHAnsi" w:cstheme="minorBidi"/>
          <w:sz w:val="22"/>
          <w:szCs w:val="22"/>
        </w:rPr>
        <w:t>would protect children from malevolent harm while respecting the plurality of views that permeate society on important life issues</w:t>
      </w:r>
      <w:r w:rsidRPr="090C4359" w:rsidR="007C273A">
        <w:rPr>
          <w:rFonts w:asciiTheme="minorHAnsi" w:hAnsiTheme="minorHAnsi" w:cstheme="minorBidi"/>
          <w:sz w:val="22"/>
          <w:szCs w:val="22"/>
        </w:rPr>
        <w:t>’.</w:t>
      </w:r>
      <w:r w:rsidRPr="090C4359" w:rsidR="00787F02">
        <w:rPr>
          <w:rStyle w:val="FootnoteReference"/>
          <w:rFonts w:asciiTheme="minorHAnsi" w:hAnsiTheme="minorHAnsi" w:cstheme="minorBidi"/>
          <w:sz w:val="22"/>
          <w:szCs w:val="22"/>
        </w:rPr>
        <w:footnoteReference w:id="388"/>
      </w:r>
      <w:r w:rsidRPr="090C4359" w:rsidR="007C273A">
        <w:rPr>
          <w:rFonts w:asciiTheme="minorHAnsi" w:hAnsiTheme="minorHAnsi" w:cstheme="minorBidi"/>
          <w:sz w:val="22"/>
          <w:szCs w:val="22"/>
        </w:rPr>
        <w:t xml:space="preserve"> </w:t>
      </w:r>
      <w:r w:rsidRPr="090C4359" w:rsidR="00734CB8">
        <w:rPr>
          <w:rFonts w:asciiTheme="minorHAnsi" w:hAnsiTheme="minorHAnsi" w:cstheme="minorBidi"/>
          <w:sz w:val="22"/>
          <w:szCs w:val="22"/>
        </w:rPr>
        <w:t xml:space="preserve">Yet </w:t>
      </w:r>
      <w:r w:rsidRPr="090C4359" w:rsidR="007C273A">
        <w:rPr>
          <w:rFonts w:asciiTheme="minorHAnsi" w:hAnsiTheme="minorHAnsi" w:cstheme="minorBidi"/>
          <w:sz w:val="22"/>
          <w:szCs w:val="22"/>
        </w:rPr>
        <w:t>B</w:t>
      </w:r>
      <w:r w:rsidRPr="090C4359" w:rsidR="00787F02">
        <w:rPr>
          <w:rFonts w:asciiTheme="minorHAnsi" w:hAnsiTheme="minorHAnsi" w:cstheme="minorBidi"/>
          <w:sz w:val="22"/>
          <w:szCs w:val="22"/>
        </w:rPr>
        <w:t>irchley</w:t>
      </w:r>
      <w:r w:rsidRPr="090C4359" w:rsidR="00734CB8">
        <w:rPr>
          <w:rFonts w:asciiTheme="minorHAnsi" w:hAnsiTheme="minorHAnsi" w:cstheme="minorBidi"/>
          <w:sz w:val="22"/>
          <w:szCs w:val="22"/>
        </w:rPr>
        <w:t>,</w:t>
      </w:r>
      <w:r w:rsidRPr="090C4359" w:rsidR="007C273A">
        <w:rPr>
          <w:rFonts w:asciiTheme="minorHAnsi" w:hAnsiTheme="minorHAnsi" w:cstheme="minorBidi"/>
          <w:sz w:val="22"/>
          <w:szCs w:val="22"/>
        </w:rPr>
        <w:t xml:space="preserve"> </w:t>
      </w:r>
      <w:r w:rsidRPr="090C4359" w:rsidR="009C5730">
        <w:rPr>
          <w:rFonts w:asciiTheme="minorHAnsi" w:hAnsiTheme="minorHAnsi" w:cstheme="minorBidi"/>
          <w:sz w:val="22"/>
          <w:szCs w:val="22"/>
        </w:rPr>
        <w:t>whilst conceding that new approaches may be needed</w:t>
      </w:r>
      <w:r w:rsidRPr="090C4359" w:rsidR="00734CB8">
        <w:rPr>
          <w:rFonts w:asciiTheme="minorHAnsi" w:hAnsiTheme="minorHAnsi" w:cstheme="minorBidi"/>
          <w:sz w:val="22"/>
          <w:szCs w:val="22"/>
        </w:rPr>
        <w:t>,</w:t>
      </w:r>
      <w:r w:rsidRPr="090C4359" w:rsidR="009C5730">
        <w:rPr>
          <w:rFonts w:asciiTheme="minorHAnsi" w:hAnsiTheme="minorHAnsi" w:cstheme="minorBidi"/>
          <w:sz w:val="22"/>
          <w:szCs w:val="22"/>
        </w:rPr>
        <w:t xml:space="preserve"> warns</w:t>
      </w:r>
      <w:r w:rsidRPr="090C4359" w:rsidR="00F23A16">
        <w:rPr>
          <w:rFonts w:asciiTheme="minorHAnsi" w:hAnsiTheme="minorHAnsi" w:cstheme="minorBidi"/>
          <w:sz w:val="22"/>
          <w:szCs w:val="22"/>
        </w:rPr>
        <w:t xml:space="preserve"> that</w:t>
      </w:r>
      <w:r w:rsidRPr="090C4359" w:rsidR="00A45C71">
        <w:rPr>
          <w:rFonts w:asciiTheme="minorHAnsi" w:hAnsiTheme="minorHAnsi" w:cstheme="minorBidi"/>
          <w:sz w:val="22"/>
          <w:szCs w:val="22"/>
        </w:rPr>
        <w:t xml:space="preserve"> ‘</w:t>
      </w:r>
      <w:r w:rsidRPr="090C4359" w:rsidR="004D2C92">
        <w:rPr>
          <w:rFonts w:asciiTheme="minorHAnsi" w:hAnsiTheme="minorHAnsi" w:cstheme="minorBidi"/>
          <w:sz w:val="22"/>
          <w:szCs w:val="22"/>
        </w:rPr>
        <w:t>liberal welfare should be based on pluralised decisions, rather than concentrating power in one group or another</w:t>
      </w:r>
      <w:r w:rsidRPr="090C4359" w:rsidR="005248F1">
        <w:rPr>
          <w:rFonts w:asciiTheme="minorHAnsi" w:hAnsiTheme="minorHAnsi" w:cstheme="minorBidi"/>
          <w:sz w:val="22"/>
          <w:szCs w:val="22"/>
        </w:rPr>
        <w:t>’</w:t>
      </w:r>
      <w:r w:rsidRPr="090C4359" w:rsidR="004D2C92">
        <w:rPr>
          <w:rFonts w:asciiTheme="minorHAnsi" w:hAnsiTheme="minorHAnsi" w:cstheme="minorBidi"/>
          <w:sz w:val="22"/>
          <w:szCs w:val="22"/>
        </w:rPr>
        <w:t>.</w:t>
      </w:r>
      <w:r w:rsidRPr="090C4359" w:rsidR="004D2C92">
        <w:rPr>
          <w:rStyle w:val="FootnoteReference"/>
          <w:rFonts w:asciiTheme="minorHAnsi" w:hAnsiTheme="minorHAnsi" w:cstheme="minorBidi"/>
          <w:sz w:val="22"/>
          <w:szCs w:val="22"/>
        </w:rPr>
        <w:footnoteReference w:id="389"/>
      </w:r>
    </w:p>
    <w:p w:rsidRPr="007B3F91" w:rsidR="0051320E" w:rsidP="00215352" w:rsidRDefault="0051320E" w14:paraId="73496D5B" w14:textId="77777777">
      <w:pPr>
        <w:jc w:val="both"/>
        <w:rPr>
          <w:i/>
          <w:iCs/>
          <w:color w:val="002060"/>
          <w:sz w:val="24"/>
          <w:szCs w:val="24"/>
        </w:rPr>
      </w:pPr>
    </w:p>
    <w:p w:rsidRPr="007B3F91" w:rsidR="007300F3" w:rsidP="00215352" w:rsidRDefault="009F2BB2" w14:paraId="4DBABE52" w14:textId="09F05453">
      <w:pPr>
        <w:jc w:val="both"/>
        <w:rPr>
          <w:i/>
          <w:iCs/>
          <w:color w:val="002060"/>
          <w:sz w:val="24"/>
          <w:szCs w:val="24"/>
        </w:rPr>
      </w:pPr>
      <w:r w:rsidRPr="007B3F91">
        <w:rPr>
          <w:i/>
          <w:iCs/>
          <w:color w:val="002060"/>
          <w:sz w:val="24"/>
          <w:szCs w:val="24"/>
        </w:rPr>
        <w:t>viii</w:t>
      </w:r>
      <w:r w:rsidRPr="007B3F91" w:rsidR="007300F3">
        <w:rPr>
          <w:i/>
          <w:iCs/>
          <w:color w:val="002060"/>
          <w:sz w:val="24"/>
          <w:szCs w:val="24"/>
        </w:rPr>
        <w:t>) Problem Solving Courts</w:t>
      </w:r>
      <w:r w:rsidRPr="007B3F91" w:rsidR="00224EF5">
        <w:rPr>
          <w:i/>
          <w:iCs/>
          <w:color w:val="002060"/>
          <w:sz w:val="24"/>
          <w:szCs w:val="24"/>
        </w:rPr>
        <w:t xml:space="preserve"> and other alternatives</w:t>
      </w:r>
    </w:p>
    <w:p w:rsidRPr="00474068" w:rsidR="00A422D0" w:rsidP="0072154C" w:rsidRDefault="00A422D0" w14:paraId="3A5B9F22" w14:textId="67DF87F0">
      <w:pPr>
        <w:pStyle w:val="Normal0"/>
        <w:numPr>
          <w:ilvl w:val="0"/>
          <w:numId w:val="2"/>
        </w:numPr>
        <w:jc w:val="both"/>
        <w:rPr>
          <w:rFonts w:asciiTheme="minorHAnsi" w:hAnsiTheme="minorHAnsi" w:cstheme="minorHAnsi"/>
          <w:sz w:val="22"/>
          <w:szCs w:val="22"/>
        </w:rPr>
      </w:pPr>
      <w:r w:rsidRPr="090C4359">
        <w:rPr>
          <w:rFonts w:asciiTheme="minorHAnsi" w:hAnsiTheme="minorHAnsi" w:cstheme="minorBidi"/>
          <w:sz w:val="22"/>
          <w:szCs w:val="22"/>
        </w:rPr>
        <w:t>There is a small amount of attention in the literature towards other types of legal resolution mechanism</w:t>
      </w:r>
      <w:r w:rsidRPr="090C4359" w:rsidR="00224EF5">
        <w:rPr>
          <w:rFonts w:asciiTheme="minorHAnsi" w:hAnsiTheme="minorHAnsi" w:cstheme="minorBidi"/>
          <w:sz w:val="22"/>
          <w:szCs w:val="22"/>
        </w:rPr>
        <w:t>s</w:t>
      </w:r>
      <w:r w:rsidRPr="090C4359">
        <w:rPr>
          <w:rFonts w:asciiTheme="minorHAnsi" w:hAnsiTheme="minorHAnsi" w:cstheme="minorBidi"/>
          <w:sz w:val="22"/>
          <w:szCs w:val="22"/>
        </w:rPr>
        <w:t>. For example, Wallis</w:t>
      </w:r>
      <w:r w:rsidRPr="090C4359" w:rsidR="002C6101">
        <w:rPr>
          <w:rFonts w:asciiTheme="minorHAnsi" w:hAnsiTheme="minorHAnsi" w:cstheme="minorBidi"/>
          <w:sz w:val="22"/>
          <w:szCs w:val="22"/>
        </w:rPr>
        <w:t xml:space="preserve"> </w:t>
      </w:r>
      <w:r w:rsidRPr="090C4359" w:rsidR="00187D66">
        <w:rPr>
          <w:rFonts w:asciiTheme="minorHAnsi" w:hAnsiTheme="minorHAnsi" w:cstheme="minorBidi"/>
          <w:sz w:val="22"/>
          <w:szCs w:val="22"/>
        </w:rPr>
        <w:t>suggests</w:t>
      </w:r>
      <w:r w:rsidRPr="090C4359" w:rsidR="002C6101">
        <w:rPr>
          <w:rFonts w:asciiTheme="minorHAnsi" w:hAnsiTheme="minorHAnsi" w:cstheme="minorBidi"/>
          <w:sz w:val="22"/>
          <w:szCs w:val="22"/>
        </w:rPr>
        <w:t xml:space="preserve"> a</w:t>
      </w:r>
      <w:r w:rsidRPr="090C4359" w:rsidR="00CA5A43">
        <w:rPr>
          <w:rFonts w:asciiTheme="minorHAnsi" w:hAnsiTheme="minorHAnsi" w:cstheme="minorBidi"/>
          <w:sz w:val="22"/>
          <w:szCs w:val="22"/>
        </w:rPr>
        <w:t xml:space="preserve"> model consisting of a</w:t>
      </w:r>
      <w:r w:rsidRPr="090C4359" w:rsidR="002C6101">
        <w:rPr>
          <w:rFonts w:asciiTheme="minorHAnsi" w:hAnsiTheme="minorHAnsi" w:cstheme="minorBidi"/>
          <w:sz w:val="22"/>
          <w:szCs w:val="22"/>
        </w:rPr>
        <w:t xml:space="preserve"> hospital-based </w:t>
      </w:r>
      <w:r w:rsidRPr="090C4359" w:rsidR="00187D66">
        <w:rPr>
          <w:rFonts w:asciiTheme="minorHAnsi" w:hAnsiTheme="minorHAnsi" w:cstheme="minorBidi"/>
          <w:sz w:val="22"/>
          <w:szCs w:val="22"/>
        </w:rPr>
        <w:t>group</w:t>
      </w:r>
      <w:r w:rsidRPr="090C4359" w:rsidR="004D42D9">
        <w:rPr>
          <w:rFonts w:asciiTheme="minorHAnsi" w:hAnsiTheme="minorHAnsi" w:cstheme="minorBidi"/>
          <w:sz w:val="22"/>
          <w:szCs w:val="22"/>
        </w:rPr>
        <w:t xml:space="preserve"> of lawyers, clinicians and lay members, </w:t>
      </w:r>
      <w:r w:rsidRPr="090C4359" w:rsidR="006D44A4">
        <w:rPr>
          <w:rFonts w:asciiTheme="minorHAnsi" w:hAnsiTheme="minorHAnsi" w:cstheme="minorBidi"/>
          <w:sz w:val="22"/>
          <w:szCs w:val="22"/>
        </w:rPr>
        <w:t>per</w:t>
      </w:r>
      <w:r w:rsidRPr="090C4359" w:rsidR="005314D2">
        <w:rPr>
          <w:rFonts w:asciiTheme="minorHAnsi" w:hAnsiTheme="minorHAnsi" w:cstheme="minorBidi"/>
          <w:sz w:val="22"/>
          <w:szCs w:val="22"/>
        </w:rPr>
        <w:t xml:space="preserve">ipatetic within the NHS and </w:t>
      </w:r>
      <w:r w:rsidRPr="090C4359" w:rsidR="004D42D9">
        <w:rPr>
          <w:rFonts w:asciiTheme="minorHAnsi" w:hAnsiTheme="minorHAnsi" w:cstheme="minorBidi"/>
          <w:sz w:val="22"/>
          <w:szCs w:val="22"/>
        </w:rPr>
        <w:t xml:space="preserve">who are trained in </w:t>
      </w:r>
      <w:r w:rsidRPr="090C4359" w:rsidR="00C6502A">
        <w:rPr>
          <w:rFonts w:asciiTheme="minorHAnsi" w:hAnsiTheme="minorHAnsi" w:cstheme="minorBidi"/>
          <w:sz w:val="22"/>
          <w:szCs w:val="22"/>
        </w:rPr>
        <w:t>mediation</w:t>
      </w:r>
      <w:r w:rsidRPr="090C4359" w:rsidR="005314D2">
        <w:rPr>
          <w:rFonts w:asciiTheme="minorHAnsi" w:hAnsiTheme="minorHAnsi" w:cstheme="minorBidi"/>
          <w:sz w:val="22"/>
          <w:szCs w:val="22"/>
        </w:rPr>
        <w:t>,</w:t>
      </w:r>
      <w:r w:rsidRPr="090C4359" w:rsidR="00CA5A43">
        <w:rPr>
          <w:rFonts w:asciiTheme="minorHAnsi" w:hAnsiTheme="minorHAnsi" w:cstheme="minorBidi"/>
          <w:sz w:val="22"/>
          <w:szCs w:val="22"/>
        </w:rPr>
        <w:t xml:space="preserve"> that would</w:t>
      </w:r>
      <w:r w:rsidRPr="090C4359" w:rsidR="00C6502A">
        <w:rPr>
          <w:rFonts w:asciiTheme="minorHAnsi" w:hAnsiTheme="minorHAnsi" w:cstheme="minorBidi"/>
          <w:sz w:val="22"/>
          <w:szCs w:val="22"/>
        </w:rPr>
        <w:t xml:space="preserve"> hear</w:t>
      </w:r>
      <w:r w:rsidRPr="090C4359" w:rsidR="00CA5A43">
        <w:rPr>
          <w:rFonts w:asciiTheme="minorHAnsi" w:hAnsiTheme="minorHAnsi" w:cstheme="minorBidi"/>
          <w:sz w:val="22"/>
          <w:szCs w:val="22"/>
        </w:rPr>
        <w:t xml:space="preserve"> in the presence of an arbitrator,</w:t>
      </w:r>
      <w:r w:rsidRPr="090C4359" w:rsidR="00C6502A">
        <w:rPr>
          <w:rFonts w:asciiTheme="minorHAnsi" w:hAnsiTheme="minorHAnsi" w:cstheme="minorBidi"/>
          <w:sz w:val="22"/>
          <w:szCs w:val="22"/>
        </w:rPr>
        <w:t xml:space="preserve"> from the parties ‘during an inquisitorial and non-confrontational hearing’</w:t>
      </w:r>
      <w:r w:rsidRPr="090C4359" w:rsidR="00CA5A43">
        <w:rPr>
          <w:rFonts w:asciiTheme="minorHAnsi" w:hAnsiTheme="minorHAnsi" w:cstheme="minorBidi"/>
          <w:sz w:val="22"/>
          <w:szCs w:val="22"/>
        </w:rPr>
        <w:t>.</w:t>
      </w:r>
      <w:r w:rsidRPr="090C4359" w:rsidR="00786F2E">
        <w:rPr>
          <w:rStyle w:val="FootnoteReference"/>
          <w:rFonts w:asciiTheme="minorHAnsi" w:hAnsiTheme="minorHAnsi" w:cstheme="minorBidi"/>
          <w:sz w:val="22"/>
          <w:szCs w:val="22"/>
        </w:rPr>
        <w:footnoteReference w:id="390"/>
      </w:r>
      <w:r w:rsidRPr="090C4359" w:rsidR="00C6502A">
        <w:rPr>
          <w:rFonts w:asciiTheme="minorHAnsi" w:hAnsiTheme="minorHAnsi" w:cstheme="minorBidi"/>
          <w:sz w:val="22"/>
          <w:szCs w:val="22"/>
        </w:rPr>
        <w:t xml:space="preserve"> </w:t>
      </w:r>
      <w:r w:rsidRPr="090C4359" w:rsidR="00786F2E">
        <w:rPr>
          <w:rFonts w:asciiTheme="minorHAnsi" w:hAnsiTheme="minorHAnsi" w:cstheme="minorBidi"/>
          <w:sz w:val="22"/>
          <w:szCs w:val="22"/>
        </w:rPr>
        <w:t xml:space="preserve">The decision of the arbitrator </w:t>
      </w:r>
      <w:r w:rsidRPr="090C4359" w:rsidR="00316A86">
        <w:rPr>
          <w:rFonts w:asciiTheme="minorHAnsi" w:hAnsiTheme="minorHAnsi" w:cstheme="minorBidi"/>
          <w:sz w:val="22"/>
          <w:szCs w:val="22"/>
        </w:rPr>
        <w:t>is then bound to agreement with a pre-hearing buy-in from all the parties</w:t>
      </w:r>
      <w:r w:rsidRPr="090C4359" w:rsidR="00CC1F7E">
        <w:rPr>
          <w:rFonts w:asciiTheme="minorHAnsi" w:hAnsiTheme="minorHAnsi" w:cstheme="minorBidi"/>
          <w:sz w:val="22"/>
          <w:szCs w:val="22"/>
        </w:rPr>
        <w:t>. He notes however that ‘[o]</w:t>
      </w:r>
      <w:r w:rsidRPr="090C4359">
        <w:rPr>
          <w:rFonts w:asciiTheme="minorHAnsi" w:hAnsiTheme="minorHAnsi" w:cstheme="minorBidi"/>
          <w:sz w:val="22"/>
          <w:szCs w:val="22"/>
        </w:rPr>
        <w:t>f course this relies on the reasonableness of the parties, the skills of mediation and the authority of the arbitrator</w:t>
      </w:r>
      <w:r w:rsidRPr="090C4359" w:rsidR="00CC1F7E">
        <w:rPr>
          <w:rFonts w:asciiTheme="minorHAnsi" w:hAnsiTheme="minorHAnsi" w:cstheme="minorBidi"/>
          <w:sz w:val="22"/>
          <w:szCs w:val="22"/>
        </w:rPr>
        <w:t xml:space="preserve"> (…)’.</w:t>
      </w:r>
      <w:r w:rsidRPr="090C4359" w:rsidR="00CC1F7E">
        <w:rPr>
          <w:rStyle w:val="FootnoteReference"/>
          <w:rFonts w:asciiTheme="minorHAnsi" w:hAnsiTheme="minorHAnsi" w:cstheme="minorBidi"/>
          <w:sz w:val="22"/>
          <w:szCs w:val="22"/>
        </w:rPr>
        <w:footnoteReference w:id="391"/>
      </w:r>
    </w:p>
    <w:p w:rsidRPr="00474068" w:rsidR="00D1129D" w:rsidP="00D1129D" w:rsidRDefault="00D1129D" w14:paraId="6B681C92" w14:textId="77777777">
      <w:pPr>
        <w:pStyle w:val="Normal0"/>
        <w:ind w:left="720"/>
        <w:rPr>
          <w:rFonts w:asciiTheme="minorHAnsi" w:hAnsiTheme="minorHAnsi" w:cstheme="minorHAnsi"/>
          <w:sz w:val="22"/>
          <w:szCs w:val="22"/>
        </w:rPr>
      </w:pPr>
    </w:p>
    <w:p w:rsidRPr="00B34346" w:rsidR="006E09D5" w:rsidP="0072154C" w:rsidRDefault="00FD6469" w14:paraId="70E298D1" w14:textId="6F1F3BB9">
      <w:pPr>
        <w:pStyle w:val="Normal0"/>
        <w:numPr>
          <w:ilvl w:val="0"/>
          <w:numId w:val="2"/>
        </w:numPr>
        <w:jc w:val="both"/>
        <w:rPr>
          <w:rFonts w:asciiTheme="minorHAnsi" w:hAnsiTheme="minorHAnsi" w:cstheme="minorHAnsi"/>
        </w:rPr>
      </w:pPr>
      <w:r w:rsidRPr="090C4359">
        <w:rPr>
          <w:rFonts w:asciiTheme="minorHAnsi" w:hAnsiTheme="minorHAnsi" w:cstheme="minorBidi"/>
          <w:sz w:val="22"/>
          <w:szCs w:val="22"/>
        </w:rPr>
        <w:t>A</w:t>
      </w:r>
      <w:r w:rsidRPr="090C4359" w:rsidR="00667308">
        <w:rPr>
          <w:rFonts w:asciiTheme="minorHAnsi" w:hAnsiTheme="minorHAnsi" w:cstheme="minorBidi"/>
          <w:sz w:val="22"/>
          <w:szCs w:val="22"/>
        </w:rPr>
        <w:t>nother</w:t>
      </w:r>
      <w:r w:rsidRPr="090C4359">
        <w:rPr>
          <w:rFonts w:asciiTheme="minorHAnsi" w:hAnsiTheme="minorHAnsi" w:cstheme="minorBidi"/>
          <w:sz w:val="22"/>
          <w:szCs w:val="22"/>
        </w:rPr>
        <w:t xml:space="preserve"> novel option is to </w:t>
      </w:r>
      <w:r w:rsidRPr="090C4359" w:rsidR="001A494D">
        <w:rPr>
          <w:rFonts w:asciiTheme="minorHAnsi" w:hAnsiTheme="minorHAnsi" w:cstheme="minorBidi"/>
          <w:sz w:val="22"/>
          <w:szCs w:val="22"/>
        </w:rPr>
        <w:t xml:space="preserve">utilise a type of ‘problem-solving court’, </w:t>
      </w:r>
      <w:r w:rsidRPr="090C4359" w:rsidR="00E9687A">
        <w:rPr>
          <w:rFonts w:asciiTheme="minorHAnsi" w:hAnsiTheme="minorHAnsi" w:cstheme="minorBidi"/>
          <w:sz w:val="22"/>
          <w:szCs w:val="22"/>
        </w:rPr>
        <w:t>first seen in the USA</w:t>
      </w:r>
      <w:r w:rsidRPr="090C4359" w:rsidR="008F5E69">
        <w:rPr>
          <w:rFonts w:asciiTheme="minorHAnsi" w:hAnsiTheme="minorHAnsi" w:cstheme="minorBidi"/>
          <w:sz w:val="22"/>
          <w:szCs w:val="22"/>
        </w:rPr>
        <w:t xml:space="preserve"> and developed as an alternative within the criminal justice system</w:t>
      </w:r>
      <w:r w:rsidRPr="090C4359" w:rsidR="00CA6293">
        <w:rPr>
          <w:rFonts w:asciiTheme="minorHAnsi" w:hAnsiTheme="minorHAnsi" w:cstheme="minorBidi"/>
          <w:sz w:val="22"/>
          <w:szCs w:val="22"/>
        </w:rPr>
        <w:t>,</w:t>
      </w:r>
      <w:r w:rsidRPr="090C4359" w:rsidR="008D598D">
        <w:rPr>
          <w:rFonts w:asciiTheme="minorHAnsi" w:hAnsiTheme="minorHAnsi" w:cstheme="minorBidi"/>
          <w:sz w:val="22"/>
          <w:szCs w:val="22"/>
        </w:rPr>
        <w:t xml:space="preserve"> where substance abuse or me</w:t>
      </w:r>
      <w:r w:rsidRPr="090C4359" w:rsidR="00CA6293">
        <w:rPr>
          <w:rFonts w:asciiTheme="minorHAnsi" w:hAnsiTheme="minorHAnsi" w:cstheme="minorBidi"/>
          <w:sz w:val="22"/>
          <w:szCs w:val="22"/>
        </w:rPr>
        <w:t>n</w:t>
      </w:r>
      <w:r w:rsidRPr="090C4359" w:rsidR="008D598D">
        <w:rPr>
          <w:rFonts w:asciiTheme="minorHAnsi" w:hAnsiTheme="minorHAnsi" w:cstheme="minorBidi"/>
          <w:sz w:val="22"/>
          <w:szCs w:val="22"/>
        </w:rPr>
        <w:t>tal health was an element in the crime.</w:t>
      </w:r>
      <w:r w:rsidRPr="090C4359" w:rsidR="008D598D">
        <w:rPr>
          <w:rStyle w:val="FootnoteReference"/>
          <w:rFonts w:asciiTheme="minorHAnsi" w:hAnsiTheme="minorHAnsi" w:cstheme="minorBidi"/>
          <w:sz w:val="22"/>
          <w:szCs w:val="22"/>
        </w:rPr>
        <w:footnoteReference w:id="392"/>
      </w:r>
      <w:r w:rsidRPr="090C4359" w:rsidR="00AE0864">
        <w:rPr>
          <w:rFonts w:asciiTheme="minorHAnsi" w:hAnsiTheme="minorHAnsi" w:cstheme="minorBidi"/>
          <w:sz w:val="22"/>
          <w:szCs w:val="22"/>
        </w:rPr>
        <w:t xml:space="preserve"> These courts move away from the traditional adversarial model seen in the US or UK,</w:t>
      </w:r>
      <w:r w:rsidRPr="090C4359" w:rsidR="00B95131">
        <w:rPr>
          <w:rFonts w:asciiTheme="minorHAnsi" w:hAnsiTheme="minorHAnsi" w:cstheme="minorBidi"/>
          <w:sz w:val="22"/>
          <w:szCs w:val="22"/>
        </w:rPr>
        <w:t xml:space="preserve"> and</w:t>
      </w:r>
      <w:r w:rsidRPr="090C4359" w:rsidR="00AE0864">
        <w:rPr>
          <w:rFonts w:asciiTheme="minorHAnsi" w:hAnsiTheme="minorHAnsi" w:cstheme="minorBidi"/>
          <w:sz w:val="22"/>
          <w:szCs w:val="22"/>
        </w:rPr>
        <w:t xml:space="preserve"> </w:t>
      </w:r>
      <w:r w:rsidRPr="090C4359" w:rsidR="00283214">
        <w:rPr>
          <w:rFonts w:asciiTheme="minorHAnsi" w:hAnsiTheme="minorHAnsi" w:cstheme="minorBidi"/>
          <w:sz w:val="22"/>
          <w:szCs w:val="22"/>
        </w:rPr>
        <w:t xml:space="preserve">have been adapted to tackle issues within family law – a notable example being the </w:t>
      </w:r>
      <w:r w:rsidRPr="090C4359" w:rsidR="00DF63AE">
        <w:rPr>
          <w:rFonts w:asciiTheme="minorHAnsi" w:hAnsiTheme="minorHAnsi" w:cstheme="minorBidi"/>
          <w:sz w:val="22"/>
          <w:szCs w:val="22"/>
        </w:rPr>
        <w:t>UK Family Drug and Alcohol Courts</w:t>
      </w:r>
      <w:r w:rsidRPr="090C4359" w:rsidR="00162C59">
        <w:rPr>
          <w:rFonts w:asciiTheme="minorHAnsi" w:hAnsiTheme="minorHAnsi" w:cstheme="minorBidi"/>
          <w:sz w:val="22"/>
          <w:szCs w:val="22"/>
        </w:rPr>
        <w:t>, used in cases</w:t>
      </w:r>
      <w:r w:rsidRPr="090C4359" w:rsidR="00B95131">
        <w:rPr>
          <w:rFonts w:asciiTheme="minorHAnsi" w:hAnsiTheme="minorHAnsi" w:cstheme="minorBidi"/>
          <w:sz w:val="22"/>
          <w:szCs w:val="22"/>
        </w:rPr>
        <w:t xml:space="preserve"> where children are at risk </w:t>
      </w:r>
      <w:r w:rsidRPr="090C4359" w:rsidR="00816F27">
        <w:rPr>
          <w:rFonts w:asciiTheme="minorHAnsi" w:hAnsiTheme="minorHAnsi" w:cstheme="minorBidi"/>
          <w:sz w:val="22"/>
          <w:szCs w:val="22"/>
        </w:rPr>
        <w:t xml:space="preserve">of </w:t>
      </w:r>
      <w:r w:rsidRPr="090C4359" w:rsidR="00B95131">
        <w:rPr>
          <w:rFonts w:asciiTheme="minorHAnsi" w:hAnsiTheme="minorHAnsi" w:cstheme="minorBidi"/>
          <w:sz w:val="22"/>
          <w:szCs w:val="22"/>
        </w:rPr>
        <w:t>being taken in to care du</w:t>
      </w:r>
      <w:r w:rsidRPr="090C4359" w:rsidR="00816F27">
        <w:rPr>
          <w:rFonts w:asciiTheme="minorHAnsi" w:hAnsiTheme="minorHAnsi" w:cstheme="minorBidi"/>
          <w:sz w:val="22"/>
          <w:szCs w:val="22"/>
        </w:rPr>
        <w:t>e</w:t>
      </w:r>
      <w:r w:rsidRPr="090C4359" w:rsidR="00B95131">
        <w:rPr>
          <w:rFonts w:asciiTheme="minorHAnsi" w:hAnsiTheme="minorHAnsi" w:cstheme="minorBidi"/>
          <w:sz w:val="22"/>
          <w:szCs w:val="22"/>
        </w:rPr>
        <w:t xml:space="preserve"> to parental substance </w:t>
      </w:r>
      <w:r w:rsidRPr="090C4359" w:rsidR="009945D3">
        <w:rPr>
          <w:rFonts w:asciiTheme="minorHAnsi" w:hAnsiTheme="minorHAnsi" w:cstheme="minorBidi"/>
          <w:sz w:val="22"/>
          <w:szCs w:val="22"/>
        </w:rPr>
        <w:t>misuse and addiction.</w:t>
      </w:r>
      <w:r w:rsidRPr="090C4359" w:rsidR="00451A45">
        <w:rPr>
          <w:rStyle w:val="FootnoteReference"/>
          <w:rFonts w:asciiTheme="minorHAnsi" w:hAnsiTheme="minorHAnsi" w:cstheme="minorBidi"/>
          <w:sz w:val="22"/>
          <w:szCs w:val="22"/>
        </w:rPr>
        <w:footnoteReference w:id="393"/>
      </w:r>
      <w:r w:rsidRPr="090C4359" w:rsidR="00162C59">
        <w:rPr>
          <w:rFonts w:asciiTheme="minorHAnsi" w:hAnsiTheme="minorHAnsi" w:cstheme="minorBidi"/>
          <w:sz w:val="22"/>
          <w:szCs w:val="22"/>
        </w:rPr>
        <w:t xml:space="preserve"> </w:t>
      </w:r>
      <w:r w:rsidRPr="090C4359" w:rsidR="00DF63AE">
        <w:rPr>
          <w:rFonts w:asciiTheme="minorHAnsi" w:hAnsiTheme="minorHAnsi" w:cstheme="minorBidi"/>
          <w:sz w:val="22"/>
          <w:szCs w:val="22"/>
        </w:rPr>
        <w:t xml:space="preserve">Harwin et al explain </w:t>
      </w:r>
      <w:r w:rsidRPr="090C4359" w:rsidR="00816F27">
        <w:rPr>
          <w:rFonts w:asciiTheme="minorHAnsi" w:hAnsiTheme="minorHAnsi" w:cstheme="minorBidi"/>
          <w:sz w:val="22"/>
          <w:szCs w:val="22"/>
        </w:rPr>
        <w:t xml:space="preserve">that </w:t>
      </w:r>
      <w:r w:rsidRPr="090C4359" w:rsidR="004C6B9C">
        <w:rPr>
          <w:rFonts w:asciiTheme="minorHAnsi" w:hAnsiTheme="minorHAnsi" w:cstheme="minorBidi"/>
          <w:sz w:val="22"/>
          <w:szCs w:val="22"/>
        </w:rPr>
        <w:t>these courts operate</w:t>
      </w:r>
      <w:r w:rsidRPr="090C4359" w:rsidR="00816F27">
        <w:rPr>
          <w:rFonts w:asciiTheme="minorHAnsi" w:hAnsiTheme="minorHAnsi" w:cstheme="minorBidi"/>
          <w:sz w:val="22"/>
          <w:szCs w:val="22"/>
        </w:rPr>
        <w:t xml:space="preserve"> on a model</w:t>
      </w:r>
      <w:r w:rsidRPr="090C4359" w:rsidR="004C6B9C">
        <w:rPr>
          <w:rFonts w:asciiTheme="minorHAnsi" w:hAnsiTheme="minorHAnsi" w:cstheme="minorBidi"/>
          <w:sz w:val="22"/>
          <w:szCs w:val="22"/>
        </w:rPr>
        <w:t xml:space="preserve"> based on active involvement of</w:t>
      </w:r>
      <w:r w:rsidRPr="090C4359" w:rsidR="004C6B9C">
        <w:rPr>
          <w:rFonts w:asciiTheme="minorHAnsi" w:hAnsiTheme="minorHAnsi" w:cstheme="minorBidi"/>
        </w:rPr>
        <w:t xml:space="preserve"> </w:t>
      </w:r>
      <w:r w:rsidRPr="090C4359" w:rsidR="004C6B9C">
        <w:rPr>
          <w:rFonts w:asciiTheme="minorHAnsi" w:hAnsiTheme="minorHAnsi" w:cstheme="minorBidi"/>
          <w:sz w:val="22"/>
          <w:szCs w:val="22"/>
        </w:rPr>
        <w:t xml:space="preserve">parents </w:t>
      </w:r>
      <w:r w:rsidRPr="090C4359" w:rsidR="00162C59">
        <w:rPr>
          <w:rFonts w:asciiTheme="minorHAnsi" w:hAnsiTheme="minorHAnsi" w:cstheme="minorBidi"/>
          <w:sz w:val="22"/>
          <w:szCs w:val="22"/>
        </w:rPr>
        <w:t>in the legal process</w:t>
      </w:r>
      <w:r w:rsidRPr="090C4359" w:rsidR="009945D3">
        <w:rPr>
          <w:rFonts w:asciiTheme="minorHAnsi" w:hAnsiTheme="minorHAnsi" w:cstheme="minorBidi"/>
          <w:sz w:val="22"/>
          <w:szCs w:val="22"/>
        </w:rPr>
        <w:t>,</w:t>
      </w:r>
      <w:r w:rsidRPr="090C4359" w:rsidR="00094E1D">
        <w:rPr>
          <w:rFonts w:asciiTheme="minorHAnsi" w:hAnsiTheme="minorHAnsi" w:cstheme="minorBidi"/>
          <w:sz w:val="22"/>
          <w:szCs w:val="22"/>
        </w:rPr>
        <w:t xml:space="preserve"> </w:t>
      </w:r>
      <w:r w:rsidRPr="090C4359" w:rsidR="00606EA4">
        <w:rPr>
          <w:rFonts w:asciiTheme="minorHAnsi" w:hAnsiTheme="minorHAnsi" w:cstheme="minorBidi"/>
          <w:sz w:val="22"/>
          <w:szCs w:val="22"/>
        </w:rPr>
        <w:t xml:space="preserve">and </w:t>
      </w:r>
      <w:r w:rsidRPr="090C4359" w:rsidR="00094E1D">
        <w:rPr>
          <w:rFonts w:asciiTheme="minorHAnsi" w:hAnsiTheme="minorHAnsi" w:cstheme="minorBidi"/>
          <w:sz w:val="22"/>
          <w:szCs w:val="22"/>
        </w:rPr>
        <w:t>is founded on ideas of</w:t>
      </w:r>
      <w:r w:rsidRPr="090C4359" w:rsidR="00606EA4">
        <w:rPr>
          <w:rFonts w:asciiTheme="minorHAnsi" w:hAnsiTheme="minorHAnsi" w:cstheme="minorBidi"/>
          <w:sz w:val="22"/>
          <w:szCs w:val="22"/>
        </w:rPr>
        <w:t xml:space="preserve"> </w:t>
      </w:r>
      <w:r w:rsidRPr="090C4359" w:rsidR="00094E1D">
        <w:rPr>
          <w:rFonts w:asciiTheme="minorHAnsi" w:hAnsiTheme="minorHAnsi" w:cstheme="minorBidi"/>
          <w:sz w:val="22"/>
          <w:szCs w:val="22"/>
        </w:rPr>
        <w:t>“</w:t>
      </w:r>
      <w:r w:rsidRPr="090C4359" w:rsidR="00606EA4">
        <w:rPr>
          <w:rFonts w:asciiTheme="minorHAnsi" w:hAnsiTheme="minorHAnsi" w:cstheme="minorBidi"/>
          <w:sz w:val="22"/>
          <w:szCs w:val="22"/>
        </w:rPr>
        <w:t>therapeutic jurisprudence</w:t>
      </w:r>
      <w:r w:rsidRPr="090C4359" w:rsidR="00094E1D">
        <w:rPr>
          <w:rFonts w:asciiTheme="minorHAnsi" w:hAnsiTheme="minorHAnsi" w:cstheme="minorBidi"/>
          <w:sz w:val="22"/>
          <w:szCs w:val="22"/>
        </w:rPr>
        <w:t xml:space="preserve">”, drawing </w:t>
      </w:r>
      <w:r w:rsidRPr="090C4359" w:rsidR="00606EA4">
        <w:rPr>
          <w:rFonts w:asciiTheme="minorHAnsi" w:hAnsiTheme="minorHAnsi" w:cstheme="minorBidi"/>
          <w:sz w:val="22"/>
          <w:szCs w:val="22"/>
        </w:rPr>
        <w:t>motivational psychology and solution-focused approaches.</w:t>
      </w:r>
      <w:r w:rsidRPr="090C4359" w:rsidR="00094E1D">
        <w:rPr>
          <w:rStyle w:val="FootnoteReference"/>
          <w:rFonts w:asciiTheme="minorHAnsi" w:hAnsiTheme="minorHAnsi" w:cstheme="minorBidi"/>
          <w:sz w:val="22"/>
          <w:szCs w:val="22"/>
        </w:rPr>
        <w:footnoteReference w:id="394"/>
      </w:r>
      <w:r w:rsidRPr="090C4359" w:rsidR="008543BD">
        <w:rPr>
          <w:rFonts w:asciiTheme="minorHAnsi" w:hAnsiTheme="minorHAnsi" w:cstheme="minorBidi"/>
          <w:sz w:val="22"/>
          <w:szCs w:val="22"/>
        </w:rPr>
        <w:t xml:space="preserve"> The review-hearing</w:t>
      </w:r>
      <w:r w:rsidRPr="090C4359" w:rsidR="00305D44">
        <w:rPr>
          <w:rFonts w:asciiTheme="minorHAnsi" w:hAnsiTheme="minorHAnsi" w:cstheme="minorBidi"/>
          <w:sz w:val="22"/>
          <w:szCs w:val="22"/>
        </w:rPr>
        <w:t>s</w:t>
      </w:r>
      <w:r w:rsidRPr="090C4359" w:rsidR="008543BD">
        <w:rPr>
          <w:rFonts w:asciiTheme="minorHAnsi" w:hAnsiTheme="minorHAnsi" w:cstheme="minorBidi"/>
          <w:sz w:val="22"/>
          <w:szCs w:val="22"/>
        </w:rPr>
        <w:t xml:space="preserve"> are judge</w:t>
      </w:r>
      <w:r w:rsidRPr="090C4359" w:rsidR="00A45CC5">
        <w:rPr>
          <w:rFonts w:asciiTheme="minorHAnsi" w:hAnsiTheme="minorHAnsi" w:cstheme="minorBidi"/>
          <w:sz w:val="22"/>
          <w:szCs w:val="22"/>
        </w:rPr>
        <w:t>-led, without the involvement of lawyers, and aim to problem-solve and motivate parents</w:t>
      </w:r>
      <w:r w:rsidRPr="090C4359" w:rsidR="00CA1A67">
        <w:rPr>
          <w:rFonts w:asciiTheme="minorHAnsi" w:hAnsiTheme="minorHAnsi" w:cstheme="minorBidi"/>
          <w:sz w:val="22"/>
          <w:szCs w:val="22"/>
        </w:rPr>
        <w:t xml:space="preserve"> -</w:t>
      </w:r>
      <w:r w:rsidRPr="090C4359" w:rsidR="00305D44">
        <w:rPr>
          <w:rFonts w:asciiTheme="minorHAnsi" w:hAnsiTheme="minorHAnsi" w:cstheme="minorBidi"/>
          <w:sz w:val="22"/>
          <w:szCs w:val="22"/>
        </w:rPr>
        <w:t xml:space="preserve"> a process which continues outside of the court room with the help of specialist teams.</w:t>
      </w:r>
      <w:r w:rsidRPr="090C4359" w:rsidR="00E3687F">
        <w:rPr>
          <w:rStyle w:val="FootnoteReference"/>
          <w:rFonts w:asciiTheme="minorHAnsi" w:hAnsiTheme="minorHAnsi" w:cstheme="minorBidi"/>
          <w:sz w:val="22"/>
          <w:szCs w:val="22"/>
        </w:rPr>
        <w:footnoteReference w:id="395"/>
      </w:r>
      <w:r w:rsidRPr="090C4359" w:rsidR="00305D44">
        <w:rPr>
          <w:rFonts w:asciiTheme="minorHAnsi" w:hAnsiTheme="minorHAnsi" w:cstheme="minorBidi"/>
          <w:sz w:val="22"/>
          <w:szCs w:val="22"/>
        </w:rPr>
        <w:t xml:space="preserve"> The</w:t>
      </w:r>
      <w:r w:rsidRPr="090C4359" w:rsidR="00D107D4">
        <w:rPr>
          <w:rFonts w:asciiTheme="minorHAnsi" w:hAnsiTheme="minorHAnsi" w:cstheme="minorBidi"/>
          <w:sz w:val="22"/>
          <w:szCs w:val="22"/>
        </w:rPr>
        <w:t>ir</w:t>
      </w:r>
      <w:r w:rsidRPr="090C4359" w:rsidR="00305D44">
        <w:rPr>
          <w:rFonts w:asciiTheme="minorHAnsi" w:hAnsiTheme="minorHAnsi" w:cstheme="minorBidi"/>
          <w:sz w:val="22"/>
          <w:szCs w:val="22"/>
        </w:rPr>
        <w:t xml:space="preserve"> results from</w:t>
      </w:r>
      <w:r w:rsidRPr="090C4359" w:rsidR="00943C6F">
        <w:rPr>
          <w:rFonts w:asciiTheme="minorHAnsi" w:hAnsiTheme="minorHAnsi" w:cstheme="minorBidi"/>
          <w:sz w:val="22"/>
          <w:szCs w:val="22"/>
        </w:rPr>
        <w:t xml:space="preserve"> 2018 suggest that</w:t>
      </w:r>
      <w:r w:rsidRPr="090C4359" w:rsidR="00827251">
        <w:rPr>
          <w:rFonts w:asciiTheme="minorHAnsi" w:hAnsiTheme="minorHAnsi" w:cstheme="minorBidi"/>
          <w:sz w:val="22"/>
          <w:szCs w:val="22"/>
        </w:rPr>
        <w:t xml:space="preserve"> this is</w:t>
      </w:r>
      <w:r w:rsidRPr="090C4359" w:rsidR="00305D44">
        <w:rPr>
          <w:rFonts w:asciiTheme="minorHAnsi" w:hAnsiTheme="minorHAnsi" w:cstheme="minorBidi"/>
          <w:sz w:val="22"/>
          <w:szCs w:val="22"/>
        </w:rPr>
        <w:t xml:space="preserve"> </w:t>
      </w:r>
      <w:r w:rsidRPr="090C4359" w:rsidR="00827251">
        <w:rPr>
          <w:rFonts w:asciiTheme="minorHAnsi" w:hAnsiTheme="minorHAnsi" w:cstheme="minorBidi"/>
          <w:sz w:val="22"/>
          <w:szCs w:val="22"/>
        </w:rPr>
        <w:t>‘</w:t>
      </w:r>
      <w:r w:rsidRPr="090C4359" w:rsidR="00482A9A">
        <w:rPr>
          <w:rFonts w:asciiTheme="minorHAnsi" w:hAnsiTheme="minorHAnsi" w:cstheme="minorBidi"/>
          <w:sz w:val="22"/>
          <w:szCs w:val="22"/>
        </w:rPr>
        <w:t>providing an entirely new way of supporting parents to meet their children’s developmental needs</w:t>
      </w:r>
      <w:r w:rsidRPr="090C4359" w:rsidR="00531EFE">
        <w:rPr>
          <w:rFonts w:asciiTheme="minorHAnsi" w:hAnsiTheme="minorHAnsi" w:cstheme="minorBidi"/>
          <w:sz w:val="22"/>
          <w:szCs w:val="22"/>
        </w:rPr>
        <w:t xml:space="preserve"> (…) and that </w:t>
      </w:r>
      <w:r w:rsidRPr="090C4359" w:rsidR="00961189">
        <w:rPr>
          <w:rFonts w:asciiTheme="minorHAnsi" w:hAnsiTheme="minorHAnsi" w:cstheme="minorBidi"/>
          <w:sz w:val="22"/>
          <w:szCs w:val="22"/>
        </w:rPr>
        <w:t>‘</w:t>
      </w:r>
      <w:r w:rsidRPr="090C4359" w:rsidR="00166C9C">
        <w:rPr>
          <w:rFonts w:asciiTheme="minorHAnsi" w:hAnsiTheme="minorHAnsi" w:cstheme="minorBidi"/>
          <w:sz w:val="22"/>
          <w:szCs w:val="22"/>
        </w:rPr>
        <w:t>given the experiences of honesty and clarity</w:t>
      </w:r>
      <w:r w:rsidRPr="090C4359" w:rsidR="00961189">
        <w:rPr>
          <w:rFonts w:asciiTheme="minorHAnsi" w:hAnsiTheme="minorHAnsi" w:cstheme="minorBidi"/>
          <w:sz w:val="22"/>
          <w:szCs w:val="22"/>
        </w:rPr>
        <w:t>’ there is much less conflict and antag</w:t>
      </w:r>
      <w:r w:rsidRPr="090C4359" w:rsidR="00B039A7">
        <w:rPr>
          <w:rFonts w:asciiTheme="minorHAnsi" w:hAnsiTheme="minorHAnsi" w:cstheme="minorBidi"/>
          <w:sz w:val="22"/>
          <w:szCs w:val="22"/>
        </w:rPr>
        <w:t>onism and</w:t>
      </w:r>
      <w:r w:rsidRPr="090C4359" w:rsidR="006E09D5">
        <w:rPr>
          <w:rFonts w:asciiTheme="minorHAnsi" w:hAnsiTheme="minorHAnsi" w:cstheme="minorBidi"/>
          <w:sz w:val="22"/>
          <w:szCs w:val="22"/>
        </w:rPr>
        <w:t xml:space="preserve"> even if the outcome is not as the parents wished,</w:t>
      </w:r>
      <w:r w:rsidRPr="090C4359" w:rsidR="00B039A7">
        <w:rPr>
          <w:rFonts w:asciiTheme="minorHAnsi" w:hAnsiTheme="minorHAnsi" w:cstheme="minorBidi"/>
          <w:sz w:val="22"/>
          <w:szCs w:val="22"/>
        </w:rPr>
        <w:t xml:space="preserve"> </w:t>
      </w:r>
      <w:r w:rsidRPr="090C4359" w:rsidR="006E09D5">
        <w:rPr>
          <w:rFonts w:asciiTheme="minorHAnsi" w:hAnsiTheme="minorHAnsi" w:cstheme="minorBidi"/>
          <w:sz w:val="22"/>
          <w:szCs w:val="22"/>
        </w:rPr>
        <w:t>‘the court</w:t>
      </w:r>
      <w:r w:rsidRPr="090C4359" w:rsidR="00275B78">
        <w:rPr>
          <w:rFonts w:asciiTheme="minorHAnsi" w:hAnsiTheme="minorHAnsi" w:cstheme="minorBidi"/>
          <w:sz w:val="22"/>
          <w:szCs w:val="22"/>
        </w:rPr>
        <w:t xml:space="preserve"> </w:t>
      </w:r>
      <w:r w:rsidRPr="090C4359" w:rsidR="006E09D5">
        <w:rPr>
          <w:rFonts w:asciiTheme="minorHAnsi" w:hAnsiTheme="minorHAnsi" w:cstheme="minorBidi"/>
          <w:sz w:val="22"/>
          <w:szCs w:val="22"/>
        </w:rPr>
        <w:t>experience is held to be more humane and compassionate than ordinary court’.</w:t>
      </w:r>
      <w:r w:rsidRPr="090C4359" w:rsidR="006E09D5">
        <w:rPr>
          <w:rStyle w:val="FootnoteReference"/>
          <w:rFonts w:asciiTheme="minorHAnsi" w:hAnsiTheme="minorHAnsi" w:cstheme="minorBidi"/>
          <w:sz w:val="22"/>
          <w:szCs w:val="22"/>
        </w:rPr>
        <w:footnoteReference w:id="396"/>
      </w:r>
    </w:p>
    <w:p w:rsidRPr="00B34346" w:rsidR="00B34346" w:rsidP="00B34346" w:rsidRDefault="00B34346" w14:paraId="621074D4" w14:textId="77777777">
      <w:pPr>
        <w:pStyle w:val="Normal0"/>
        <w:ind w:left="502"/>
        <w:rPr>
          <w:rFonts w:asciiTheme="minorHAnsi" w:hAnsiTheme="minorHAnsi" w:cstheme="minorHAnsi"/>
        </w:rPr>
      </w:pPr>
    </w:p>
    <w:p w:rsidRPr="00B34346" w:rsidR="00E9687A" w:rsidP="0072154C" w:rsidRDefault="005233D2" w14:paraId="2673D4E0" w14:textId="1EF03353">
      <w:pPr>
        <w:pStyle w:val="Normal0"/>
        <w:numPr>
          <w:ilvl w:val="0"/>
          <w:numId w:val="2"/>
        </w:numPr>
        <w:ind w:left="502"/>
        <w:jc w:val="both"/>
        <w:rPr>
          <w:rFonts w:asciiTheme="minorHAnsi" w:hAnsiTheme="minorHAnsi" w:cstheme="minorHAnsi"/>
        </w:rPr>
      </w:pPr>
      <w:r w:rsidRPr="090C4359">
        <w:rPr>
          <w:rFonts w:asciiTheme="minorHAnsi" w:hAnsiTheme="minorHAnsi" w:cstheme="minorBidi"/>
          <w:sz w:val="22"/>
          <w:szCs w:val="22"/>
        </w:rPr>
        <w:t xml:space="preserve">There has been some discussion about whether this model can be extended to other </w:t>
      </w:r>
      <w:r w:rsidRPr="090C4359" w:rsidR="00727ACC">
        <w:rPr>
          <w:rFonts w:asciiTheme="minorHAnsi" w:hAnsiTheme="minorHAnsi" w:cstheme="minorBidi"/>
          <w:sz w:val="22"/>
          <w:szCs w:val="22"/>
        </w:rPr>
        <w:t xml:space="preserve">types of problems and Harwin et </w:t>
      </w:r>
      <w:r w:rsidRPr="090C4359" w:rsidR="00DD7476">
        <w:rPr>
          <w:rFonts w:asciiTheme="minorHAnsi" w:hAnsiTheme="minorHAnsi" w:cstheme="minorBidi"/>
          <w:sz w:val="22"/>
          <w:szCs w:val="22"/>
        </w:rPr>
        <w:t>a</w:t>
      </w:r>
      <w:r w:rsidRPr="090C4359" w:rsidR="00727ACC">
        <w:rPr>
          <w:rFonts w:asciiTheme="minorHAnsi" w:hAnsiTheme="minorHAnsi" w:cstheme="minorBidi"/>
          <w:sz w:val="22"/>
          <w:szCs w:val="22"/>
        </w:rPr>
        <w:t xml:space="preserve">l consider that it might work in </w:t>
      </w:r>
      <w:r w:rsidRPr="090C4359" w:rsidR="00911DBA">
        <w:rPr>
          <w:rFonts w:asciiTheme="minorHAnsi" w:hAnsiTheme="minorHAnsi" w:cstheme="minorBidi"/>
          <w:sz w:val="22"/>
          <w:szCs w:val="22"/>
        </w:rPr>
        <w:t xml:space="preserve">cases of parental neglect, domestic violence or mental health. </w:t>
      </w:r>
      <w:r w:rsidRPr="090C4359" w:rsidR="00911DBA">
        <w:rPr>
          <w:rStyle w:val="FootnoteReference"/>
          <w:rFonts w:asciiTheme="minorHAnsi" w:hAnsiTheme="minorHAnsi" w:cstheme="minorBidi"/>
          <w:sz w:val="22"/>
          <w:szCs w:val="22"/>
        </w:rPr>
        <w:footnoteReference w:id="397"/>
      </w:r>
      <w:r w:rsidRPr="090C4359" w:rsidR="00911DBA">
        <w:rPr>
          <w:rFonts w:asciiTheme="minorHAnsi" w:hAnsiTheme="minorHAnsi" w:cstheme="minorBidi"/>
          <w:sz w:val="22"/>
          <w:szCs w:val="22"/>
        </w:rPr>
        <w:t xml:space="preserve"> Its utility in the context of medical decision-making is </w:t>
      </w:r>
      <w:r w:rsidRPr="090C4359" w:rsidR="008B4711">
        <w:rPr>
          <w:rFonts w:asciiTheme="minorHAnsi" w:hAnsiTheme="minorHAnsi" w:cstheme="minorBidi"/>
          <w:sz w:val="22"/>
          <w:szCs w:val="22"/>
        </w:rPr>
        <w:t xml:space="preserve">unclear </w:t>
      </w:r>
      <w:r w:rsidRPr="090C4359" w:rsidR="00911DBA">
        <w:rPr>
          <w:rFonts w:asciiTheme="minorHAnsi" w:hAnsiTheme="minorHAnsi" w:cstheme="minorBidi"/>
          <w:sz w:val="22"/>
          <w:szCs w:val="22"/>
        </w:rPr>
        <w:t>though</w:t>
      </w:r>
      <w:r w:rsidRPr="090C4359" w:rsidR="008B4711">
        <w:rPr>
          <w:rFonts w:asciiTheme="minorHAnsi" w:hAnsiTheme="minorHAnsi" w:cstheme="minorBidi"/>
          <w:sz w:val="22"/>
          <w:szCs w:val="22"/>
        </w:rPr>
        <w:t>, as w</w:t>
      </w:r>
      <w:r w:rsidRPr="090C4359" w:rsidR="00E4424C">
        <w:rPr>
          <w:rFonts w:asciiTheme="minorHAnsi" w:hAnsiTheme="minorHAnsi" w:cstheme="minorBidi"/>
          <w:sz w:val="22"/>
          <w:szCs w:val="22"/>
        </w:rPr>
        <w:t xml:space="preserve">hilst the </w:t>
      </w:r>
      <w:r w:rsidRPr="090C4359" w:rsidR="008B4711">
        <w:rPr>
          <w:rFonts w:asciiTheme="minorHAnsi" w:hAnsiTheme="minorHAnsi" w:cstheme="minorBidi"/>
          <w:sz w:val="22"/>
          <w:szCs w:val="22"/>
        </w:rPr>
        <w:t>less adversarial forum and external support may be beneficial in seeking resolution, the underlying aim</w:t>
      </w:r>
      <w:r w:rsidRPr="090C4359" w:rsidR="004A4BC7">
        <w:rPr>
          <w:rFonts w:asciiTheme="minorHAnsi" w:hAnsiTheme="minorHAnsi" w:cstheme="minorBidi"/>
          <w:sz w:val="22"/>
          <w:szCs w:val="22"/>
        </w:rPr>
        <w:t xml:space="preserve"> </w:t>
      </w:r>
      <w:r w:rsidRPr="090C4359" w:rsidR="008B4711">
        <w:rPr>
          <w:rFonts w:asciiTheme="minorHAnsi" w:hAnsiTheme="minorHAnsi" w:cstheme="minorBidi"/>
          <w:sz w:val="22"/>
          <w:szCs w:val="22"/>
        </w:rPr>
        <w:t xml:space="preserve">to produce responsibility for and change in parental behaviour is less likely to be applicable to disagreements about what is </w:t>
      </w:r>
      <w:r w:rsidRPr="090C4359" w:rsidR="00F941AD">
        <w:rPr>
          <w:rFonts w:asciiTheme="minorHAnsi" w:hAnsiTheme="minorHAnsi" w:cstheme="minorBidi"/>
          <w:sz w:val="22"/>
          <w:szCs w:val="22"/>
        </w:rPr>
        <w:t>“best” in terms of medical care.</w:t>
      </w:r>
    </w:p>
    <w:p w:rsidRPr="00E9687A" w:rsidR="00E9687A" w:rsidP="00E9687A" w:rsidRDefault="00E9687A" w14:paraId="44BA61E0" w14:textId="77777777">
      <w:pPr>
        <w:widowControl w:val="0"/>
        <w:autoSpaceDE w:val="0"/>
        <w:autoSpaceDN w:val="0"/>
        <w:adjustRightInd w:val="0"/>
        <w:rPr>
          <w:rFonts w:ascii="Segoe UI" w:hAnsi="Segoe UI" w:cs="Segoe UI"/>
          <w:sz w:val="20"/>
          <w:szCs w:val="20"/>
        </w:rPr>
      </w:pPr>
    </w:p>
    <w:p w:rsidRPr="007B3F91" w:rsidR="009B0AA3" w:rsidP="00215352" w:rsidRDefault="009F2BB2" w14:paraId="58596C54" w14:textId="3737A040">
      <w:pPr>
        <w:jc w:val="both"/>
        <w:rPr>
          <w:i/>
          <w:iCs/>
          <w:color w:val="002060"/>
          <w:sz w:val="24"/>
          <w:szCs w:val="24"/>
        </w:rPr>
      </w:pPr>
      <w:r w:rsidRPr="007B3F91">
        <w:rPr>
          <w:i/>
          <w:iCs/>
          <w:color w:val="002060"/>
          <w:sz w:val="24"/>
          <w:szCs w:val="24"/>
        </w:rPr>
        <w:t>ix</w:t>
      </w:r>
      <w:r w:rsidRPr="007B3F91" w:rsidR="009B0AA3">
        <w:rPr>
          <w:i/>
          <w:iCs/>
          <w:color w:val="002060"/>
          <w:sz w:val="24"/>
          <w:szCs w:val="24"/>
        </w:rPr>
        <w:t>) Court</w:t>
      </w:r>
    </w:p>
    <w:p w:rsidRPr="00763E94" w:rsidR="00A767B4" w:rsidP="004415C7" w:rsidRDefault="00602F27" w14:paraId="0D7A4194" w14:textId="04074E73">
      <w:pPr>
        <w:pStyle w:val="Normal0"/>
        <w:numPr>
          <w:ilvl w:val="0"/>
          <w:numId w:val="2"/>
        </w:numPr>
        <w:rPr>
          <w:rFonts w:asciiTheme="minorHAnsi" w:hAnsiTheme="minorHAnsi" w:cstheme="minorHAnsi"/>
          <w:sz w:val="22"/>
          <w:szCs w:val="22"/>
        </w:rPr>
      </w:pPr>
      <w:r w:rsidRPr="090C4359">
        <w:rPr>
          <w:rFonts w:asciiTheme="minorHAnsi" w:hAnsiTheme="minorHAnsi" w:cstheme="minorBidi"/>
          <w:sz w:val="22"/>
          <w:szCs w:val="22"/>
        </w:rPr>
        <w:t>Finally, we come to the</w:t>
      </w:r>
      <w:r w:rsidRPr="090C4359" w:rsidR="00CF6D13">
        <w:rPr>
          <w:rFonts w:asciiTheme="minorHAnsi" w:hAnsiTheme="minorHAnsi" w:cstheme="minorBidi"/>
          <w:sz w:val="22"/>
          <w:szCs w:val="22"/>
        </w:rPr>
        <w:t xml:space="preserve"> traditional recourse to court, often after some (or all) of the mechanisms outlined in the green and amber zones have </w:t>
      </w:r>
      <w:r w:rsidRPr="090C4359" w:rsidR="007749B6">
        <w:rPr>
          <w:rFonts w:asciiTheme="minorHAnsi" w:hAnsiTheme="minorHAnsi" w:cstheme="minorBidi"/>
          <w:sz w:val="22"/>
          <w:szCs w:val="22"/>
        </w:rPr>
        <w:t>failed.</w:t>
      </w:r>
      <w:r w:rsidRPr="090C4359" w:rsidR="00D44BCB">
        <w:rPr>
          <w:rFonts w:asciiTheme="minorHAnsi" w:hAnsiTheme="minorHAnsi" w:cstheme="minorBidi"/>
          <w:sz w:val="22"/>
          <w:szCs w:val="22"/>
        </w:rPr>
        <w:t xml:space="preserve"> </w:t>
      </w:r>
      <w:r w:rsidRPr="090C4359" w:rsidR="00796442">
        <w:rPr>
          <w:rFonts w:asciiTheme="minorHAnsi" w:hAnsiTheme="minorHAnsi" w:cstheme="minorBidi"/>
          <w:sz w:val="22"/>
          <w:szCs w:val="22"/>
        </w:rPr>
        <w:t>For some, such</w:t>
      </w:r>
      <w:r w:rsidRPr="090C4359" w:rsidR="00DC1C04">
        <w:rPr>
          <w:rFonts w:asciiTheme="minorHAnsi" w:hAnsiTheme="minorHAnsi" w:cstheme="minorBidi"/>
          <w:sz w:val="22"/>
          <w:szCs w:val="22"/>
        </w:rPr>
        <w:t xml:space="preserve"> as Benbow, court is seen as </w:t>
      </w:r>
      <w:r w:rsidRPr="090C4359" w:rsidR="00D17D63">
        <w:rPr>
          <w:rFonts w:asciiTheme="minorHAnsi" w:hAnsiTheme="minorHAnsi" w:cstheme="minorBidi"/>
          <w:sz w:val="22"/>
          <w:szCs w:val="22"/>
        </w:rPr>
        <w:t>having a necessary role for those cases</w:t>
      </w:r>
      <w:r w:rsidRPr="090C4359" w:rsidR="007C1CE6">
        <w:rPr>
          <w:rFonts w:asciiTheme="minorHAnsi" w:hAnsiTheme="minorHAnsi" w:cstheme="minorBidi"/>
          <w:sz w:val="22"/>
          <w:szCs w:val="22"/>
        </w:rPr>
        <w:t xml:space="preserve"> that cannot be successfully mediated.</w:t>
      </w:r>
      <w:r w:rsidRPr="090C4359" w:rsidR="007C1CE6">
        <w:rPr>
          <w:rStyle w:val="FootnoteReference"/>
          <w:rFonts w:asciiTheme="minorHAnsi" w:hAnsiTheme="minorHAnsi" w:cstheme="minorBidi"/>
          <w:sz w:val="22"/>
          <w:szCs w:val="22"/>
        </w:rPr>
        <w:footnoteReference w:id="398"/>
      </w:r>
      <w:r w:rsidRPr="090C4359" w:rsidR="007C1CE6">
        <w:rPr>
          <w:rFonts w:asciiTheme="minorHAnsi" w:hAnsiTheme="minorHAnsi" w:cstheme="minorBidi"/>
          <w:sz w:val="22"/>
          <w:szCs w:val="22"/>
        </w:rPr>
        <w:t xml:space="preserve"> </w:t>
      </w:r>
      <w:r w:rsidRPr="090C4359" w:rsidR="009B3236">
        <w:rPr>
          <w:rFonts w:asciiTheme="minorHAnsi" w:hAnsiTheme="minorHAnsi" w:cstheme="minorBidi"/>
          <w:sz w:val="22"/>
          <w:szCs w:val="22"/>
          <w:shd w:val="clear" w:color="auto" w:fill="FFFFFF"/>
        </w:rPr>
        <w:t xml:space="preserve">Reflecting on her experiences, William Verden’s mother Ami McLennan feels it is ‘worth going to court’ and urges other parents of children with autism or learning disabilities who disagree with doctors’ assessments of their child’s best interests to do the same, as </w:t>
      </w:r>
      <w:r w:rsidRPr="090C4359" w:rsidR="00FF0727">
        <w:rPr>
          <w:rFonts w:asciiTheme="minorHAnsi" w:hAnsiTheme="minorHAnsi" w:cstheme="minorBidi"/>
          <w:sz w:val="22"/>
          <w:szCs w:val="22"/>
          <w:shd w:val="clear" w:color="auto" w:fill="FFFFFF"/>
        </w:rPr>
        <w:t>‘</w:t>
      </w:r>
      <w:r w:rsidRPr="090C4359" w:rsidR="009B3236">
        <w:rPr>
          <w:rFonts w:asciiTheme="minorHAnsi" w:hAnsiTheme="minorHAnsi" w:cstheme="minorBidi"/>
          <w:sz w:val="22"/>
          <w:szCs w:val="22"/>
          <w:shd w:val="clear" w:color="auto" w:fill="FFFFFF"/>
        </w:rPr>
        <w:t>[j]udges can be fair and you can get the right outcome’.</w:t>
      </w:r>
      <w:r w:rsidRPr="090C4359" w:rsidR="009B3236">
        <w:rPr>
          <w:rStyle w:val="FootnoteReference"/>
          <w:rFonts w:asciiTheme="minorHAnsi" w:hAnsiTheme="minorHAnsi" w:cstheme="minorBidi"/>
          <w:sz w:val="22"/>
          <w:szCs w:val="22"/>
          <w:shd w:val="clear" w:color="auto" w:fill="FFFFFF"/>
        </w:rPr>
        <w:footnoteReference w:id="399"/>
      </w:r>
      <w:r w:rsidRPr="090C4359" w:rsidR="00FF0727">
        <w:rPr>
          <w:rFonts w:asciiTheme="minorHAnsi" w:hAnsiTheme="minorHAnsi" w:cstheme="minorBidi"/>
          <w:sz w:val="22"/>
          <w:szCs w:val="22"/>
        </w:rPr>
        <w:t xml:space="preserve"> Yet for</w:t>
      </w:r>
      <w:r w:rsidRPr="090C4359" w:rsidR="00A767B4">
        <w:rPr>
          <w:rFonts w:asciiTheme="minorHAnsi" w:hAnsiTheme="minorHAnsi" w:cstheme="minorBidi"/>
          <w:sz w:val="22"/>
          <w:szCs w:val="22"/>
        </w:rPr>
        <w:t xml:space="preserve"> others,</w:t>
      </w:r>
      <w:r w:rsidRPr="090C4359" w:rsidR="007C1CE6">
        <w:rPr>
          <w:rFonts w:asciiTheme="minorHAnsi" w:hAnsiTheme="minorHAnsi" w:cstheme="minorBidi"/>
          <w:sz w:val="22"/>
          <w:szCs w:val="22"/>
        </w:rPr>
        <w:t xml:space="preserve"> such</w:t>
      </w:r>
      <w:r w:rsidRPr="090C4359" w:rsidR="00796442">
        <w:rPr>
          <w:rFonts w:asciiTheme="minorHAnsi" w:hAnsiTheme="minorHAnsi" w:cstheme="minorBidi"/>
          <w:sz w:val="22"/>
          <w:szCs w:val="22"/>
        </w:rPr>
        <w:t xml:space="preserve"> as Forbat ‘</w:t>
      </w:r>
      <w:r w:rsidRPr="090C4359" w:rsidR="00796442">
        <w:rPr>
          <w:rFonts w:asciiTheme="minorHAnsi" w:hAnsiTheme="minorHAnsi" w:cstheme="minorBidi"/>
          <w:sz w:val="22"/>
          <w:szCs w:val="22"/>
          <w:shd w:val="clear" w:color="auto" w:fill="FFFFFF"/>
        </w:rPr>
        <w:t>[k]eeping these cases out of the courts has to be a core objective</w:t>
      </w:r>
      <w:r w:rsidRPr="090C4359" w:rsidR="00A767B4">
        <w:rPr>
          <w:rFonts w:asciiTheme="minorHAnsi" w:hAnsiTheme="minorHAnsi" w:cstheme="minorBidi"/>
          <w:sz w:val="22"/>
          <w:szCs w:val="22"/>
          <w:shd w:val="clear" w:color="auto" w:fill="FFFFFF"/>
        </w:rPr>
        <w:t>’</w:t>
      </w:r>
      <w:r w:rsidRPr="090C4359" w:rsidR="008B02E6">
        <w:rPr>
          <w:rFonts w:asciiTheme="minorHAnsi" w:hAnsiTheme="minorHAnsi" w:cstheme="minorBidi"/>
          <w:sz w:val="22"/>
          <w:szCs w:val="22"/>
          <w:shd w:val="clear" w:color="auto" w:fill="FFFFFF"/>
        </w:rPr>
        <w:t>.</w:t>
      </w:r>
      <w:r w:rsidRPr="090C4359" w:rsidR="00C77EF4">
        <w:rPr>
          <w:rStyle w:val="FootnoteReference"/>
          <w:rFonts w:asciiTheme="minorHAnsi" w:hAnsiTheme="minorHAnsi" w:cstheme="minorBidi"/>
          <w:sz w:val="22"/>
          <w:szCs w:val="22"/>
          <w:shd w:val="clear" w:color="auto" w:fill="FFFFFF"/>
        </w:rPr>
        <w:footnoteReference w:id="400"/>
      </w:r>
      <w:r w:rsidRPr="090C4359" w:rsidR="00C77EF4">
        <w:rPr>
          <w:rFonts w:asciiTheme="minorHAnsi" w:hAnsiTheme="minorHAnsi" w:cstheme="minorBidi"/>
          <w:sz w:val="22"/>
          <w:szCs w:val="22"/>
          <w:shd w:val="clear" w:color="auto" w:fill="FFFFFF"/>
        </w:rPr>
        <w:t xml:space="preserve"> </w:t>
      </w:r>
      <w:r w:rsidRPr="090C4359" w:rsidR="00A767B4">
        <w:rPr>
          <w:rFonts w:asciiTheme="minorHAnsi" w:hAnsiTheme="minorHAnsi" w:cstheme="minorBidi"/>
          <w:sz w:val="22"/>
          <w:szCs w:val="22"/>
          <w:shd w:val="clear" w:color="auto" w:fill="FFFFFF"/>
        </w:rPr>
        <w:t xml:space="preserve">Jesmont et al </w:t>
      </w:r>
      <w:r w:rsidRPr="090C4359" w:rsidR="00D83126">
        <w:rPr>
          <w:rFonts w:asciiTheme="minorHAnsi" w:hAnsiTheme="minorHAnsi" w:cstheme="minorBidi"/>
          <w:sz w:val="22"/>
          <w:szCs w:val="22"/>
          <w:shd w:val="clear" w:color="auto" w:fill="FFFFFF"/>
        </w:rPr>
        <w:t xml:space="preserve">recognise that legal </w:t>
      </w:r>
      <w:r w:rsidRPr="090C4359" w:rsidR="00772398">
        <w:rPr>
          <w:rFonts w:asciiTheme="minorHAnsi" w:hAnsiTheme="minorHAnsi" w:cstheme="minorBidi"/>
          <w:sz w:val="22"/>
          <w:szCs w:val="22"/>
          <w:shd w:val="clear" w:color="auto" w:fill="FFFFFF"/>
        </w:rPr>
        <w:t xml:space="preserve">measures </w:t>
      </w:r>
      <w:r w:rsidRPr="090C4359" w:rsidR="00772398">
        <w:rPr>
          <w:rFonts w:asciiTheme="minorHAnsi" w:hAnsiTheme="minorHAnsi" w:cstheme="minorBidi"/>
          <w:sz w:val="22"/>
          <w:szCs w:val="22"/>
        </w:rPr>
        <w:t xml:space="preserve">‘provide </w:t>
      </w:r>
      <w:r w:rsidRPr="090C4359" w:rsidR="00A767B4">
        <w:rPr>
          <w:rFonts w:asciiTheme="minorHAnsi" w:hAnsiTheme="minorHAnsi" w:cstheme="minorBidi"/>
          <w:sz w:val="22"/>
          <w:szCs w:val="22"/>
        </w:rPr>
        <w:t>finality to disagreements</w:t>
      </w:r>
      <w:r w:rsidRPr="090C4359" w:rsidR="00772398">
        <w:rPr>
          <w:rFonts w:asciiTheme="minorHAnsi" w:hAnsiTheme="minorHAnsi" w:cstheme="minorBidi"/>
          <w:sz w:val="22"/>
          <w:szCs w:val="22"/>
        </w:rPr>
        <w:t>’ but</w:t>
      </w:r>
      <w:r w:rsidRPr="090C4359" w:rsidR="00A767B4">
        <w:rPr>
          <w:rFonts w:asciiTheme="minorHAnsi" w:hAnsiTheme="minorHAnsi" w:cstheme="minorBidi"/>
          <w:sz w:val="22"/>
          <w:szCs w:val="22"/>
        </w:rPr>
        <w:t xml:space="preserve"> </w:t>
      </w:r>
      <w:r w:rsidRPr="090C4359" w:rsidR="00772398">
        <w:rPr>
          <w:rFonts w:asciiTheme="minorHAnsi" w:hAnsiTheme="minorHAnsi" w:cstheme="minorBidi"/>
          <w:sz w:val="22"/>
          <w:szCs w:val="22"/>
        </w:rPr>
        <w:t>‘</w:t>
      </w:r>
      <w:r w:rsidRPr="090C4359" w:rsidR="00A767B4">
        <w:rPr>
          <w:rFonts w:asciiTheme="minorHAnsi" w:hAnsiTheme="minorHAnsi" w:cstheme="minorBidi"/>
          <w:sz w:val="22"/>
          <w:szCs w:val="22"/>
        </w:rPr>
        <w:t>they do not necessarily result in resolution of broken-down relationships and trust.</w:t>
      </w:r>
      <w:r w:rsidRPr="090C4359" w:rsidR="00772398">
        <w:rPr>
          <w:rFonts w:asciiTheme="minorHAnsi" w:hAnsiTheme="minorHAnsi" w:cstheme="minorBidi"/>
          <w:sz w:val="22"/>
          <w:szCs w:val="22"/>
        </w:rPr>
        <w:t>’</w:t>
      </w:r>
      <w:r w:rsidRPr="090C4359" w:rsidR="00772398">
        <w:rPr>
          <w:rStyle w:val="FootnoteReference"/>
          <w:rFonts w:asciiTheme="minorHAnsi" w:hAnsiTheme="minorHAnsi" w:cstheme="minorBidi"/>
          <w:sz w:val="22"/>
          <w:szCs w:val="22"/>
        </w:rPr>
        <w:footnoteReference w:id="401"/>
      </w:r>
    </w:p>
    <w:p w:rsidRPr="00763E94" w:rsidR="0086104F" w:rsidP="0086104F" w:rsidRDefault="0086104F" w14:paraId="62F2785C" w14:textId="77777777">
      <w:pPr>
        <w:pStyle w:val="Normal0"/>
        <w:ind w:left="360"/>
        <w:rPr>
          <w:rFonts w:asciiTheme="minorHAnsi" w:hAnsiTheme="minorHAnsi" w:cstheme="minorHAnsi"/>
          <w:sz w:val="22"/>
          <w:szCs w:val="22"/>
        </w:rPr>
      </w:pPr>
    </w:p>
    <w:p w:rsidRPr="00763E94" w:rsidR="00D44BCB" w:rsidP="0072154C" w:rsidRDefault="00D44BCB" w14:paraId="78DACE3E" w14:textId="464C799C">
      <w:pPr>
        <w:pStyle w:val="Normal0"/>
        <w:numPr>
          <w:ilvl w:val="0"/>
          <w:numId w:val="2"/>
        </w:numPr>
        <w:jc w:val="both"/>
        <w:rPr>
          <w:rFonts w:asciiTheme="minorHAnsi" w:hAnsiTheme="minorHAnsi" w:cstheme="minorHAnsi"/>
          <w:sz w:val="22"/>
          <w:szCs w:val="22"/>
        </w:rPr>
      </w:pPr>
      <w:r w:rsidRPr="090C4359">
        <w:rPr>
          <w:rFonts w:asciiTheme="minorHAnsi" w:hAnsiTheme="minorHAnsi" w:cstheme="minorBidi"/>
          <w:sz w:val="22"/>
          <w:szCs w:val="22"/>
        </w:rPr>
        <w:t>This is compounded by concerns about the financial implications for families of defending legal action in the absence of Legal Aid provision. As discussed in the Causes section, this may lead to online crowdfunding or involvement of third-party organisations for pro-bono legal advice and representation</w:t>
      </w:r>
      <w:r w:rsidRPr="090C4359" w:rsidR="00BE707F">
        <w:rPr>
          <w:rFonts w:asciiTheme="minorHAnsi" w:hAnsiTheme="minorHAnsi" w:cstheme="minorBidi"/>
          <w:sz w:val="22"/>
          <w:szCs w:val="22"/>
        </w:rPr>
        <w:t>.</w:t>
      </w:r>
      <w:r w:rsidRPr="090C4359" w:rsidR="003554D6">
        <w:rPr>
          <w:rStyle w:val="FootnoteReference"/>
          <w:rFonts w:asciiTheme="minorHAnsi" w:hAnsiTheme="minorHAnsi" w:cstheme="minorBidi"/>
          <w:sz w:val="22"/>
          <w:szCs w:val="22"/>
        </w:rPr>
        <w:footnoteReference w:id="402"/>
      </w:r>
      <w:r w:rsidRPr="090C4359">
        <w:rPr>
          <w:rFonts w:asciiTheme="minorHAnsi" w:hAnsiTheme="minorHAnsi" w:cstheme="minorBidi"/>
          <w:sz w:val="22"/>
          <w:szCs w:val="22"/>
        </w:rPr>
        <w:t xml:space="preserve"> </w:t>
      </w:r>
      <w:r w:rsidRPr="090C4359" w:rsidR="00BE707F">
        <w:rPr>
          <w:rFonts w:asciiTheme="minorHAnsi" w:hAnsiTheme="minorHAnsi" w:cstheme="minorBidi"/>
          <w:sz w:val="22"/>
          <w:szCs w:val="22"/>
        </w:rPr>
        <w:t>Use of the latter</w:t>
      </w:r>
      <w:r w:rsidRPr="090C4359">
        <w:rPr>
          <w:rFonts w:asciiTheme="minorHAnsi" w:hAnsiTheme="minorHAnsi" w:cstheme="minorBidi"/>
          <w:sz w:val="22"/>
          <w:szCs w:val="22"/>
        </w:rPr>
        <w:t xml:space="preserve"> can exacerbate conflict</w:t>
      </w:r>
      <w:r w:rsidRPr="090C4359" w:rsidR="00EE5BCD">
        <w:rPr>
          <w:rFonts w:asciiTheme="minorHAnsi" w:hAnsiTheme="minorHAnsi" w:cstheme="minorBidi"/>
          <w:sz w:val="22"/>
          <w:szCs w:val="22"/>
        </w:rPr>
        <w:t>, particularly</w:t>
      </w:r>
      <w:r w:rsidRPr="090C4359" w:rsidR="003554D6">
        <w:rPr>
          <w:rFonts w:asciiTheme="minorHAnsi" w:hAnsiTheme="minorHAnsi" w:cstheme="minorBidi"/>
          <w:sz w:val="22"/>
          <w:szCs w:val="22"/>
        </w:rPr>
        <w:t xml:space="preserve"> if </w:t>
      </w:r>
      <w:r w:rsidRPr="090C4359" w:rsidR="00D44B13">
        <w:rPr>
          <w:rFonts w:asciiTheme="minorHAnsi" w:hAnsiTheme="minorHAnsi" w:cstheme="minorBidi"/>
          <w:sz w:val="22"/>
          <w:szCs w:val="22"/>
        </w:rPr>
        <w:t>this third-party advice is</w:t>
      </w:r>
      <w:r w:rsidRPr="090C4359" w:rsidR="009A6ECF">
        <w:rPr>
          <w:rFonts w:asciiTheme="minorHAnsi" w:hAnsiTheme="minorHAnsi" w:cstheme="minorBidi"/>
          <w:sz w:val="22"/>
          <w:szCs w:val="22"/>
        </w:rPr>
        <w:t xml:space="preserve"> provided by campaign groups</w:t>
      </w:r>
      <w:r w:rsidRPr="090C4359" w:rsidR="00D44B13">
        <w:rPr>
          <w:rFonts w:asciiTheme="minorHAnsi" w:hAnsiTheme="minorHAnsi" w:cstheme="minorBidi"/>
          <w:sz w:val="22"/>
          <w:szCs w:val="22"/>
        </w:rPr>
        <w:t xml:space="preserve"> </w:t>
      </w:r>
      <w:r w:rsidRPr="090C4359" w:rsidR="008F4953">
        <w:rPr>
          <w:rFonts w:asciiTheme="minorHAnsi" w:hAnsiTheme="minorHAnsi" w:cstheme="minorBidi"/>
          <w:sz w:val="22"/>
          <w:szCs w:val="22"/>
        </w:rPr>
        <w:t>driven</w:t>
      </w:r>
      <w:r w:rsidRPr="090C4359" w:rsidR="00D44B13">
        <w:rPr>
          <w:rFonts w:asciiTheme="minorHAnsi" w:hAnsiTheme="minorHAnsi" w:cstheme="minorBidi"/>
          <w:sz w:val="22"/>
          <w:szCs w:val="22"/>
        </w:rPr>
        <w:t xml:space="preserve"> by a</w:t>
      </w:r>
      <w:r w:rsidRPr="090C4359" w:rsidR="00EE5BCD">
        <w:rPr>
          <w:rFonts w:asciiTheme="minorHAnsi" w:hAnsiTheme="minorHAnsi" w:cstheme="minorBidi"/>
          <w:sz w:val="22"/>
          <w:szCs w:val="22"/>
        </w:rPr>
        <w:t xml:space="preserve">n </w:t>
      </w:r>
      <w:r w:rsidRPr="090C4359" w:rsidR="00D44B13">
        <w:rPr>
          <w:rFonts w:asciiTheme="minorHAnsi" w:hAnsiTheme="minorHAnsi" w:cstheme="minorBidi"/>
          <w:sz w:val="22"/>
          <w:szCs w:val="22"/>
        </w:rPr>
        <w:t>ideology</w:t>
      </w:r>
      <w:r w:rsidRPr="090C4359" w:rsidR="008733A6">
        <w:rPr>
          <w:rFonts w:asciiTheme="minorHAnsi" w:hAnsiTheme="minorHAnsi" w:cstheme="minorBidi"/>
          <w:sz w:val="22"/>
          <w:szCs w:val="22"/>
        </w:rPr>
        <w:t xml:space="preserve"> or agenda</w:t>
      </w:r>
      <w:r w:rsidRPr="090C4359" w:rsidR="00D44B13">
        <w:rPr>
          <w:rFonts w:asciiTheme="minorHAnsi" w:hAnsiTheme="minorHAnsi" w:cstheme="minorBidi"/>
          <w:sz w:val="22"/>
          <w:szCs w:val="22"/>
        </w:rPr>
        <w:t xml:space="preserve"> </w:t>
      </w:r>
      <w:r w:rsidRPr="090C4359" w:rsidR="00E97462">
        <w:rPr>
          <w:rFonts w:asciiTheme="minorHAnsi" w:hAnsiTheme="minorHAnsi" w:cstheme="minorBidi"/>
          <w:sz w:val="22"/>
          <w:szCs w:val="22"/>
        </w:rPr>
        <w:t>that</w:t>
      </w:r>
      <w:r w:rsidRPr="090C4359" w:rsidR="00D44B13">
        <w:rPr>
          <w:rFonts w:asciiTheme="minorHAnsi" w:hAnsiTheme="minorHAnsi" w:cstheme="minorBidi"/>
          <w:sz w:val="22"/>
          <w:szCs w:val="22"/>
        </w:rPr>
        <w:t xml:space="preserve"> may not </w:t>
      </w:r>
      <w:r w:rsidRPr="090C4359" w:rsidR="00222999">
        <w:rPr>
          <w:rFonts w:asciiTheme="minorHAnsi" w:hAnsiTheme="minorHAnsi" w:cstheme="minorBidi"/>
          <w:sz w:val="22"/>
          <w:szCs w:val="22"/>
        </w:rPr>
        <w:t>accurately align with the authentic views</w:t>
      </w:r>
      <w:r w:rsidRPr="090C4359" w:rsidR="00884C67">
        <w:rPr>
          <w:rFonts w:asciiTheme="minorHAnsi" w:hAnsiTheme="minorHAnsi" w:cstheme="minorBidi"/>
          <w:sz w:val="22"/>
          <w:szCs w:val="22"/>
        </w:rPr>
        <w:t xml:space="preserve"> of the family</w:t>
      </w:r>
      <w:r w:rsidRPr="090C4359" w:rsidR="00971384">
        <w:rPr>
          <w:rFonts w:asciiTheme="minorHAnsi" w:hAnsiTheme="minorHAnsi" w:cstheme="minorBidi"/>
          <w:sz w:val="22"/>
          <w:szCs w:val="22"/>
        </w:rPr>
        <w:t>, or their best interests.</w:t>
      </w:r>
      <w:r w:rsidRPr="090C4359" w:rsidR="008F4953">
        <w:rPr>
          <w:rStyle w:val="FootnoteReference"/>
          <w:rFonts w:asciiTheme="minorHAnsi" w:hAnsiTheme="minorHAnsi" w:cstheme="minorBidi"/>
          <w:sz w:val="22"/>
          <w:szCs w:val="22"/>
        </w:rPr>
        <w:footnoteReference w:id="403"/>
      </w:r>
      <w:r w:rsidRPr="090C4359" w:rsidR="00884C67">
        <w:rPr>
          <w:rFonts w:asciiTheme="minorHAnsi" w:hAnsiTheme="minorHAnsi" w:cstheme="minorBidi"/>
          <w:sz w:val="22"/>
          <w:szCs w:val="22"/>
        </w:rPr>
        <w:t xml:space="preserve"> </w:t>
      </w:r>
      <w:r w:rsidRPr="090C4359">
        <w:rPr>
          <w:rFonts w:asciiTheme="minorHAnsi" w:hAnsiTheme="minorHAnsi" w:cstheme="minorBidi"/>
          <w:sz w:val="22"/>
          <w:szCs w:val="22"/>
        </w:rPr>
        <w:t>The Ministry of Justice have signalled that</w:t>
      </w:r>
      <w:r w:rsidRPr="090C4359" w:rsidR="00C66822">
        <w:rPr>
          <w:rFonts w:asciiTheme="minorHAnsi" w:hAnsiTheme="minorHAnsi" w:cstheme="minorBidi"/>
          <w:sz w:val="22"/>
          <w:szCs w:val="22"/>
        </w:rPr>
        <w:t xml:space="preserve"> they propose to offer non-means tested legal aid to </w:t>
      </w:r>
      <w:r w:rsidRPr="090C4359" w:rsidR="00F32238">
        <w:rPr>
          <w:rFonts w:asciiTheme="minorHAnsi" w:hAnsiTheme="minorHAnsi" w:cstheme="minorBidi"/>
          <w:sz w:val="22"/>
          <w:szCs w:val="22"/>
        </w:rPr>
        <w:t>parents for cases involving the withdraw</w:t>
      </w:r>
      <w:r w:rsidRPr="090C4359" w:rsidR="00A706CD">
        <w:rPr>
          <w:rFonts w:asciiTheme="minorHAnsi" w:hAnsiTheme="minorHAnsi" w:cstheme="minorBidi"/>
          <w:sz w:val="22"/>
          <w:szCs w:val="22"/>
        </w:rPr>
        <w:t>a</w:t>
      </w:r>
      <w:r w:rsidRPr="090C4359" w:rsidR="00F32238">
        <w:rPr>
          <w:rFonts w:asciiTheme="minorHAnsi" w:hAnsiTheme="minorHAnsi" w:cstheme="minorBidi"/>
          <w:sz w:val="22"/>
          <w:szCs w:val="22"/>
        </w:rPr>
        <w:t>l or withholding of life-s</w:t>
      </w:r>
      <w:r w:rsidRPr="090C4359" w:rsidR="00A706CD">
        <w:rPr>
          <w:rFonts w:asciiTheme="minorHAnsi" w:hAnsiTheme="minorHAnsi" w:cstheme="minorBidi"/>
          <w:sz w:val="22"/>
          <w:szCs w:val="22"/>
        </w:rPr>
        <w:t>ustaining</w:t>
      </w:r>
      <w:r w:rsidRPr="090C4359" w:rsidR="00F32238">
        <w:rPr>
          <w:rFonts w:asciiTheme="minorHAnsi" w:hAnsiTheme="minorHAnsi" w:cstheme="minorBidi"/>
          <w:sz w:val="22"/>
          <w:szCs w:val="22"/>
        </w:rPr>
        <w:t xml:space="preserve"> treatment for children</w:t>
      </w:r>
      <w:r w:rsidRPr="090C4359" w:rsidR="00B714F9">
        <w:rPr>
          <w:rFonts w:asciiTheme="minorHAnsi" w:hAnsiTheme="minorHAnsi" w:cstheme="minorBidi"/>
          <w:sz w:val="22"/>
          <w:szCs w:val="22"/>
        </w:rPr>
        <w:t>,</w:t>
      </w:r>
      <w:r w:rsidRPr="090C4359" w:rsidR="00D55D10">
        <w:rPr>
          <w:rStyle w:val="FootnoteReference"/>
          <w:rFonts w:asciiTheme="minorHAnsi" w:hAnsiTheme="minorHAnsi" w:cstheme="minorBidi"/>
          <w:sz w:val="22"/>
          <w:szCs w:val="22"/>
        </w:rPr>
        <w:footnoteReference w:id="404"/>
      </w:r>
      <w:r w:rsidRPr="090C4359" w:rsidR="00D55D10">
        <w:rPr>
          <w:rFonts w:asciiTheme="minorHAnsi" w:hAnsiTheme="minorHAnsi" w:cstheme="minorBidi"/>
          <w:sz w:val="22"/>
          <w:szCs w:val="22"/>
        </w:rPr>
        <w:t xml:space="preserve"> -</w:t>
      </w:r>
      <w:r w:rsidRPr="090C4359" w:rsidR="00B714F9">
        <w:rPr>
          <w:rFonts w:asciiTheme="minorHAnsi" w:hAnsiTheme="minorHAnsi" w:cstheme="minorBidi"/>
          <w:sz w:val="22"/>
          <w:szCs w:val="22"/>
        </w:rPr>
        <w:t xml:space="preserve"> </w:t>
      </w:r>
      <w:r w:rsidRPr="090C4359">
        <w:rPr>
          <w:rFonts w:asciiTheme="minorHAnsi" w:hAnsiTheme="minorHAnsi" w:cstheme="minorBidi"/>
          <w:sz w:val="22"/>
          <w:szCs w:val="22"/>
        </w:rPr>
        <w:t xml:space="preserve">this should go some way </w:t>
      </w:r>
      <w:r w:rsidRPr="090C4359" w:rsidR="00AD551F">
        <w:rPr>
          <w:rFonts w:asciiTheme="minorHAnsi" w:hAnsiTheme="minorHAnsi" w:cstheme="minorBidi"/>
          <w:sz w:val="22"/>
          <w:szCs w:val="22"/>
        </w:rPr>
        <w:t>in</w:t>
      </w:r>
      <w:r w:rsidRPr="090C4359" w:rsidR="00700DB3">
        <w:rPr>
          <w:rFonts w:asciiTheme="minorHAnsi" w:hAnsiTheme="minorHAnsi" w:cstheme="minorBidi"/>
          <w:sz w:val="22"/>
          <w:szCs w:val="22"/>
        </w:rPr>
        <w:t xml:space="preserve"> ameliorating such vulnerabilities.</w:t>
      </w:r>
      <w:r w:rsidRPr="090C4359">
        <w:rPr>
          <w:rFonts w:asciiTheme="minorHAnsi" w:hAnsiTheme="minorHAnsi" w:cstheme="minorBidi"/>
          <w:sz w:val="22"/>
          <w:szCs w:val="22"/>
        </w:rPr>
        <w:t xml:space="preserve"> However, concerns over significant power imbalances remain that will not be resolved simply by providing Legal Aid to families, given the</w:t>
      </w:r>
      <w:r w:rsidRPr="090C4359">
        <w:rPr>
          <w:rFonts w:asciiTheme="minorHAnsi" w:hAnsiTheme="minorHAnsi" w:cstheme="minorBidi"/>
        </w:rPr>
        <w:t xml:space="preserve"> </w:t>
      </w:r>
      <w:r w:rsidRPr="090C4359">
        <w:rPr>
          <w:rFonts w:asciiTheme="minorHAnsi" w:hAnsiTheme="minorHAnsi" w:cstheme="minorBidi"/>
          <w:sz w:val="22"/>
          <w:szCs w:val="22"/>
        </w:rPr>
        <w:t>comparably vast resources and expertise that NHS Trusts can draw upon.</w:t>
      </w:r>
    </w:p>
    <w:p w:rsidRPr="00C646CE" w:rsidR="00FA4146" w:rsidP="00FA4146" w:rsidRDefault="00FA4146" w14:paraId="21A96F1E" w14:textId="77777777">
      <w:pPr>
        <w:pStyle w:val="ListParagraph"/>
        <w:rPr>
          <w:rFonts w:cstheme="minorHAnsi"/>
        </w:rPr>
      </w:pPr>
    </w:p>
    <w:p w:rsidR="007B7390" w:rsidP="004415C7" w:rsidRDefault="00C77EF4" w14:paraId="53A9FF29" w14:textId="77777777">
      <w:pPr>
        <w:pStyle w:val="ListParagraph"/>
        <w:numPr>
          <w:ilvl w:val="0"/>
          <w:numId w:val="2"/>
        </w:numPr>
        <w:jc w:val="both"/>
        <w:rPr>
          <w:rFonts w:cstheme="minorHAnsi"/>
        </w:rPr>
      </w:pPr>
      <w:r w:rsidRPr="090C4359">
        <w:t>Yet</w:t>
      </w:r>
      <w:r w:rsidRPr="090C4359" w:rsidR="001B7E5D">
        <w:t xml:space="preserve"> whilst</w:t>
      </w:r>
      <w:r w:rsidRPr="090C4359" w:rsidR="006E5097">
        <w:rPr>
          <w:color w:val="000000"/>
          <w:shd w:val="clear" w:color="auto" w:fill="FFFFFF"/>
        </w:rPr>
        <w:t xml:space="preserve"> Wilkinson</w:t>
      </w:r>
      <w:r w:rsidRPr="090C4359" w:rsidR="00A24A7B">
        <w:rPr>
          <w:color w:val="000000"/>
          <w:shd w:val="clear" w:color="auto" w:fill="FFFFFF"/>
        </w:rPr>
        <w:t xml:space="preserve"> </w:t>
      </w:r>
      <w:r w:rsidRPr="090C4359" w:rsidR="007842BD">
        <w:rPr>
          <w:color w:val="000000"/>
          <w:shd w:val="clear" w:color="auto" w:fill="FFFFFF"/>
        </w:rPr>
        <w:t>recognise</w:t>
      </w:r>
      <w:r w:rsidRPr="090C4359" w:rsidR="001B7E5D">
        <w:rPr>
          <w:color w:val="000000"/>
          <w:shd w:val="clear" w:color="auto" w:fill="FFFFFF"/>
        </w:rPr>
        <w:t>s</w:t>
      </w:r>
      <w:r w:rsidRPr="090C4359" w:rsidR="007842BD">
        <w:rPr>
          <w:color w:val="000000"/>
          <w:shd w:val="clear" w:color="auto" w:fill="FFFFFF"/>
        </w:rPr>
        <w:t xml:space="preserve"> that</w:t>
      </w:r>
      <w:r w:rsidRPr="090C4359" w:rsidR="0010054E">
        <w:rPr>
          <w:color w:val="000000"/>
          <w:shd w:val="clear" w:color="auto" w:fill="FFFFFF"/>
        </w:rPr>
        <w:t xml:space="preserve"> court-action poses problems, he declares </w:t>
      </w:r>
      <w:r w:rsidRPr="090C4359" w:rsidR="0072150F">
        <w:rPr>
          <w:color w:val="000000"/>
          <w:shd w:val="clear" w:color="auto" w:fill="FFFFFF"/>
        </w:rPr>
        <w:t>‘</w:t>
      </w:r>
      <w:r w:rsidRPr="090C4359" w:rsidR="00A24A7B">
        <w:t>the UK is commendable in having a clear, transparent, and generally consistent legal process that strictly focuses on the interests of the child.</w:t>
      </w:r>
      <w:r w:rsidRPr="090C4359" w:rsidR="0072150F">
        <w:t>’</w:t>
      </w:r>
      <w:r w:rsidRPr="090C4359" w:rsidR="0072150F">
        <w:rPr>
          <w:rStyle w:val="FootnoteReference"/>
        </w:rPr>
        <w:footnoteReference w:id="405"/>
      </w:r>
      <w:r w:rsidRPr="090C4359" w:rsidR="0075037B">
        <w:t xml:space="preserve"> Indeed, Auckland and Goold </w:t>
      </w:r>
      <w:r w:rsidRPr="090C4359" w:rsidR="00F716CB">
        <w:t>in their multi-jur</w:t>
      </w:r>
      <w:r w:rsidRPr="090C4359" w:rsidR="00D53E80">
        <w:t>isdictional</w:t>
      </w:r>
      <w:r w:rsidRPr="090C4359" w:rsidR="00F716CB">
        <w:t xml:space="preserve"> comparative analysis</w:t>
      </w:r>
      <w:r w:rsidRPr="090C4359" w:rsidR="007A4B91">
        <w:t xml:space="preserve"> find that England is an outlier</w:t>
      </w:r>
      <w:r w:rsidRPr="090C4359" w:rsidR="00E863D7">
        <w:t xml:space="preserve"> -</w:t>
      </w:r>
      <w:r w:rsidRPr="090C4359" w:rsidR="00B86B51">
        <w:t xml:space="preserve"> across </w:t>
      </w:r>
      <w:r w:rsidRPr="090C4359" w:rsidR="00B92F64">
        <w:t>almost thirty jurisdictions</w:t>
      </w:r>
      <w:r w:rsidRPr="090C4359" w:rsidR="00B86B51">
        <w:t xml:space="preserve"> examined</w:t>
      </w:r>
      <w:r w:rsidRPr="090C4359" w:rsidR="00781851">
        <w:t>, judicial resolution was much more frequent in England than</w:t>
      </w:r>
      <w:r w:rsidRPr="090C4359" w:rsidR="005157AE">
        <w:t xml:space="preserve"> most</w:t>
      </w:r>
      <w:r w:rsidRPr="090C4359" w:rsidR="00781851">
        <w:t xml:space="preserve"> other countries</w:t>
      </w:r>
      <w:r w:rsidRPr="090C4359" w:rsidR="00B04E3A">
        <w:t xml:space="preserve"> (with some countries having none, including Scotland, and</w:t>
      </w:r>
      <w:r w:rsidRPr="090C4359" w:rsidR="00572944">
        <w:t xml:space="preserve"> </w:t>
      </w:r>
      <w:r w:rsidRPr="090C4359" w:rsidR="005157AE">
        <w:t>with only Australia and USA having similar numbers</w:t>
      </w:r>
      <w:r w:rsidRPr="090C4359" w:rsidR="00572944">
        <w:t>)</w:t>
      </w:r>
      <w:r w:rsidRPr="090C4359" w:rsidR="00781851">
        <w:t>.</w:t>
      </w:r>
      <w:r w:rsidRPr="090C4359" w:rsidR="00F716CB">
        <w:rPr>
          <w:rStyle w:val="FootnoteReference"/>
        </w:rPr>
        <w:footnoteReference w:id="406"/>
      </w:r>
      <w:r w:rsidRPr="090C4359" w:rsidR="00572944">
        <w:t xml:space="preserve"> </w:t>
      </w:r>
      <w:r w:rsidRPr="090C4359" w:rsidR="00167347">
        <w:t>Rarity of litigation</w:t>
      </w:r>
      <w:r w:rsidRPr="090C4359" w:rsidR="00184107">
        <w:t xml:space="preserve"> elsewhere</w:t>
      </w:r>
      <w:r w:rsidRPr="090C4359" w:rsidR="00167347">
        <w:t xml:space="preserve"> may be due to </w:t>
      </w:r>
      <w:r w:rsidRPr="090C4359" w:rsidR="007A586F">
        <w:t>an absence</w:t>
      </w:r>
      <w:r w:rsidRPr="090C4359" w:rsidR="00E863D7">
        <w:t xml:space="preserve"> of</w:t>
      </w:r>
      <w:r w:rsidRPr="090C4359" w:rsidR="00572944">
        <w:t xml:space="preserve"> any</w:t>
      </w:r>
      <w:r w:rsidRPr="090C4359" w:rsidR="007A586F">
        <w:t xml:space="preserve"> </w:t>
      </w:r>
      <w:r w:rsidRPr="090C4359" w:rsidR="00587539">
        <w:t xml:space="preserve">legal mechanism to </w:t>
      </w:r>
      <w:r w:rsidRPr="090C4359" w:rsidR="00072B15">
        <w:t>permit health</w:t>
      </w:r>
      <w:r w:rsidRPr="090C4359" w:rsidR="00E42B5D">
        <w:t xml:space="preserve"> providers to </w:t>
      </w:r>
      <w:r w:rsidRPr="090C4359" w:rsidR="00C048B8">
        <w:t>intervene in</w:t>
      </w:r>
      <w:r w:rsidRPr="090C4359" w:rsidR="00E42B5D">
        <w:t xml:space="preserve"> parental </w:t>
      </w:r>
      <w:r w:rsidRPr="090C4359" w:rsidR="00C048B8">
        <w:t xml:space="preserve">decision-making </w:t>
      </w:r>
      <w:r w:rsidRPr="090C4359" w:rsidR="00712E84">
        <w:t>such as in Sweden</w:t>
      </w:r>
      <w:r w:rsidRPr="090C4359" w:rsidR="00072B15">
        <w:t>,</w:t>
      </w:r>
      <w:r w:rsidRPr="090C4359" w:rsidR="00712E84">
        <w:t xml:space="preserve"> Botswana,</w:t>
      </w:r>
      <w:r w:rsidRPr="090C4359" w:rsidR="00072B15">
        <w:t xml:space="preserve"> China or Thailand</w:t>
      </w:r>
      <w:r w:rsidRPr="090C4359" w:rsidR="00FD5A19">
        <w:t>;</w:t>
      </w:r>
      <w:r w:rsidRPr="090C4359" w:rsidR="00374894">
        <w:rPr>
          <w:rStyle w:val="FootnoteReference"/>
        </w:rPr>
        <w:footnoteReference w:id="407"/>
      </w:r>
      <w:r w:rsidRPr="090C4359" w:rsidR="00712E84">
        <w:t xml:space="preserve"> </w:t>
      </w:r>
      <w:r w:rsidRPr="090C4359" w:rsidR="005A58D4">
        <w:t>adoption of a “higher” threshold for intervention, such as in Chile</w:t>
      </w:r>
      <w:r w:rsidRPr="090C4359" w:rsidR="00CD3443">
        <w:t>, Mexico or Switzerland, which all require some risk of harm or death</w:t>
      </w:r>
      <w:r w:rsidRPr="090C4359" w:rsidR="00FD5A19">
        <w:t>;</w:t>
      </w:r>
      <w:r w:rsidRPr="090C4359" w:rsidR="00FD5A19">
        <w:rPr>
          <w:rStyle w:val="FootnoteReference"/>
        </w:rPr>
        <w:footnoteReference w:id="408"/>
      </w:r>
      <w:r w:rsidRPr="090C4359" w:rsidR="00FD5A19">
        <w:t xml:space="preserve"> </w:t>
      </w:r>
      <w:r w:rsidRPr="090C4359" w:rsidR="002B0775">
        <w:t xml:space="preserve">or </w:t>
      </w:r>
      <w:r w:rsidRPr="090C4359" w:rsidR="007A586F">
        <w:t xml:space="preserve"> </w:t>
      </w:r>
      <w:r w:rsidRPr="090C4359" w:rsidR="00D80528">
        <w:t xml:space="preserve">cultural practices that accord one decision-maker greater weight than the other, whether that be the family-centric </w:t>
      </w:r>
      <w:r w:rsidRPr="090C4359" w:rsidR="00795E8E">
        <w:t xml:space="preserve">practices </w:t>
      </w:r>
      <w:r w:rsidRPr="090C4359" w:rsidR="00687586">
        <w:t xml:space="preserve">of China, or the medical deference seen in </w:t>
      </w:r>
      <w:r w:rsidRPr="090C4359" w:rsidR="0027385B">
        <w:t>Mal</w:t>
      </w:r>
      <w:r w:rsidRPr="090C4359" w:rsidR="003B7464">
        <w:t>aysia</w:t>
      </w:r>
      <w:r w:rsidRPr="090C4359" w:rsidR="000D10BA">
        <w:t>.</w:t>
      </w:r>
      <w:r w:rsidRPr="090C4359" w:rsidR="000D10BA">
        <w:rPr>
          <w:rStyle w:val="FootnoteReference"/>
        </w:rPr>
        <w:footnoteReference w:id="409"/>
      </w:r>
    </w:p>
    <w:p w:rsidRPr="0016369F" w:rsidR="0016369F" w:rsidP="0016369F" w:rsidRDefault="0016369F" w14:paraId="097B08F2" w14:textId="77777777">
      <w:pPr>
        <w:pStyle w:val="ListParagraph"/>
        <w:rPr>
          <w:rFonts w:cstheme="minorHAnsi"/>
        </w:rPr>
      </w:pPr>
    </w:p>
    <w:p w:rsidRPr="0016369F" w:rsidR="00A24A7B" w:rsidP="004415C7" w:rsidRDefault="0016369F" w14:paraId="120D6513" w14:textId="4C19BEBC">
      <w:pPr>
        <w:pStyle w:val="ListParagraph"/>
        <w:numPr>
          <w:ilvl w:val="0"/>
          <w:numId w:val="2"/>
        </w:numPr>
        <w:jc w:val="both"/>
        <w:rPr>
          <w:rFonts w:cstheme="minorHAnsi"/>
        </w:rPr>
      </w:pPr>
      <w:r w:rsidRPr="090C4359">
        <w:t>G</w:t>
      </w:r>
      <w:r w:rsidRPr="090C4359" w:rsidR="002B0775">
        <w:t>ive</w:t>
      </w:r>
      <w:r w:rsidRPr="090C4359" w:rsidR="003D4F70">
        <w:t>n</w:t>
      </w:r>
      <w:r w:rsidRPr="090C4359" w:rsidR="007627FD">
        <w:t xml:space="preserve"> that many disagreements turn on v</w:t>
      </w:r>
      <w:r w:rsidRPr="090C4359" w:rsidR="003D4F70">
        <w:t>alue-judgments,</w:t>
      </w:r>
      <w:r w:rsidRPr="090C4359" w:rsidR="0043661C">
        <w:t xml:space="preserve"> Auckland and Goold observe that </w:t>
      </w:r>
      <w:r w:rsidRPr="090C4359" w:rsidR="004E42D8">
        <w:t>‘</w:t>
      </w:r>
      <w:r w:rsidRPr="090C4359" w:rsidR="0043661C">
        <w:t>it would be hard to extrapolate the cultural tendency towards consensus-building and avoidance of conﬂict seen in some countries, to a country such as England</w:t>
      </w:r>
      <w:r w:rsidRPr="090C4359" w:rsidR="0083089D">
        <w:t xml:space="preserve">’ which has </w:t>
      </w:r>
      <w:r w:rsidRPr="090C4359" w:rsidR="00864186">
        <w:t>greater</w:t>
      </w:r>
      <w:r w:rsidRPr="090C4359" w:rsidR="005A2DA3">
        <w:t xml:space="preserve"> </w:t>
      </w:r>
      <w:r w:rsidRPr="090C4359" w:rsidR="00864186">
        <w:t xml:space="preserve">cultural and religious diversity and therefore </w:t>
      </w:r>
      <w:r w:rsidRPr="090C4359" w:rsidR="002F06CB">
        <w:t>more</w:t>
      </w:r>
      <w:r w:rsidRPr="090C4359" w:rsidR="00864186">
        <w:t xml:space="preserve"> scope for</w:t>
      </w:r>
      <w:r w:rsidRPr="090C4359" w:rsidR="002F06CB">
        <w:t xml:space="preserve"> values</w:t>
      </w:r>
      <w:r w:rsidRPr="090C4359" w:rsidR="00864186">
        <w:t xml:space="preserve"> disagreement and </w:t>
      </w:r>
      <w:r w:rsidRPr="090C4359" w:rsidR="002F06CB">
        <w:t>inability to find resolution without</w:t>
      </w:r>
      <w:r w:rsidRPr="090C4359" w:rsidR="005A2DA3">
        <w:t xml:space="preserve"> judicial </w:t>
      </w:r>
      <w:r w:rsidRPr="090C4359" w:rsidR="002F06CB">
        <w:t>intervention.</w:t>
      </w:r>
      <w:r w:rsidRPr="090C4359" w:rsidR="004E42D8">
        <w:rPr>
          <w:rStyle w:val="FootnoteReference"/>
        </w:rPr>
        <w:footnoteReference w:id="410"/>
      </w:r>
      <w:r w:rsidRPr="090C4359" w:rsidR="00F23DAC">
        <w:t xml:space="preserve"> </w:t>
      </w:r>
      <w:r w:rsidRPr="090C4359" w:rsidR="007B7390">
        <w:t>They conclude that ‘[w]hile avoiding disagreements escalating has undoubted advantages, where an intractable dispute arises which cannot be resolved except by the use of an independent arbiter, courts, with their commitment to due process and robust reasoning, offer the most legitimate option</w:t>
      </w:r>
      <w:r w:rsidRPr="090C4359" w:rsidR="003467AE">
        <w:t>’</w:t>
      </w:r>
      <w:r w:rsidRPr="090C4359" w:rsidR="00A405C3">
        <w:t>.</w:t>
      </w:r>
      <w:r w:rsidRPr="090C4359" w:rsidR="00A405C3">
        <w:rPr>
          <w:rStyle w:val="FootnoteReference"/>
        </w:rPr>
        <w:footnoteReference w:id="411"/>
      </w:r>
      <w:r w:rsidRPr="090C4359" w:rsidR="00557D44">
        <w:t xml:space="preserve"> They</w:t>
      </w:r>
      <w:r w:rsidRPr="090C4359" w:rsidR="003467AE">
        <w:t xml:space="preserve"> list </w:t>
      </w:r>
      <w:r w:rsidRPr="090C4359" w:rsidR="00A405C3">
        <w:t xml:space="preserve">three </w:t>
      </w:r>
      <w:r w:rsidRPr="090C4359" w:rsidR="00557D44">
        <w:t xml:space="preserve">distinguishing features of the court process lacking in all other resolution mechanisms: </w:t>
      </w:r>
      <w:r w:rsidRPr="090C4359" w:rsidR="00B84161">
        <w:t>first,</w:t>
      </w:r>
      <w:r w:rsidRPr="090C4359" w:rsidR="00A80285">
        <w:t xml:space="preserve"> </w:t>
      </w:r>
      <w:r w:rsidRPr="090C4359" w:rsidR="00B84161">
        <w:t>a</w:t>
      </w:r>
      <w:r w:rsidRPr="090C4359" w:rsidR="00A80285">
        <w:t>llowing each party to present their case</w:t>
      </w:r>
      <w:r w:rsidRPr="090C4359" w:rsidR="007B7390">
        <w:t xml:space="preserve"> </w:t>
      </w:r>
      <w:r w:rsidRPr="090C4359" w:rsidR="00A80285">
        <w:t>‘</w:t>
      </w:r>
      <w:r w:rsidRPr="090C4359" w:rsidR="007B7390">
        <w:t>avoids concerns that one voice may be presumptively silenced by the other</w:t>
      </w:r>
      <w:r w:rsidRPr="090C4359" w:rsidR="00A80285">
        <w:t>’</w:t>
      </w:r>
      <w:r w:rsidRPr="090C4359" w:rsidR="00B84161">
        <w:t>; second,</w:t>
      </w:r>
      <w:r w:rsidRPr="090C4359" w:rsidR="00D11D32">
        <w:t xml:space="preserve"> </w:t>
      </w:r>
      <w:r w:rsidRPr="090C4359" w:rsidR="00B84161">
        <w:t>a</w:t>
      </w:r>
      <w:r w:rsidRPr="090C4359" w:rsidR="00D11D32">
        <w:t xml:space="preserve"> Guardian is appointed for the child, which keeps advocacy of the child’s welfare at </w:t>
      </w:r>
      <w:r w:rsidRPr="090C4359" w:rsidR="00646D58">
        <w:t xml:space="preserve">its heart; and </w:t>
      </w:r>
      <w:r w:rsidRPr="090C4359" w:rsidR="008B2FA5">
        <w:t>third, t</w:t>
      </w:r>
      <w:r w:rsidRPr="090C4359" w:rsidR="00646D58">
        <w:t xml:space="preserve">ransparency of court </w:t>
      </w:r>
      <w:r w:rsidRPr="090C4359" w:rsidR="00FE3BE5">
        <w:t>processes and judgments allows for public scrutiny and challenge through democratic processes.</w:t>
      </w:r>
      <w:r w:rsidRPr="090C4359" w:rsidR="007B7390">
        <w:rPr>
          <w:rStyle w:val="FootnoteReference"/>
        </w:rPr>
        <w:footnoteReference w:id="412"/>
      </w:r>
    </w:p>
    <w:p w:rsidR="006E01D9" w:rsidP="00215352" w:rsidRDefault="006E01D9" w14:paraId="5EC31D0E" w14:textId="7E3E98D8">
      <w:pPr>
        <w:jc w:val="both"/>
        <w:rPr>
          <w:sz w:val="24"/>
          <w:szCs w:val="24"/>
        </w:rPr>
      </w:pPr>
    </w:p>
    <w:p w:rsidRPr="007B3F91" w:rsidR="000B6F0B" w:rsidP="000B6F0B" w:rsidRDefault="006E01D9" w14:paraId="6281E472" w14:textId="0814A682">
      <w:pPr>
        <w:jc w:val="both"/>
        <w:rPr>
          <w:i/>
          <w:iCs/>
          <w:color w:val="002060"/>
          <w:sz w:val="24"/>
          <w:szCs w:val="24"/>
        </w:rPr>
      </w:pPr>
      <w:r w:rsidRPr="007B3F91">
        <w:rPr>
          <w:i/>
          <w:iCs/>
          <w:color w:val="002060"/>
          <w:sz w:val="24"/>
          <w:szCs w:val="24"/>
        </w:rPr>
        <w:t>Summary</w:t>
      </w:r>
    </w:p>
    <w:p w:rsidRPr="00763E94" w:rsidR="006E01D9" w:rsidP="00215352" w:rsidRDefault="000B6F0B" w14:paraId="6F024D64" w14:textId="6D61F089">
      <w:pPr>
        <w:pStyle w:val="ListParagraph"/>
        <w:numPr>
          <w:ilvl w:val="0"/>
          <w:numId w:val="2"/>
        </w:numPr>
        <w:jc w:val="both"/>
      </w:pPr>
      <w:r>
        <w:t xml:space="preserve">In summary, </w:t>
      </w:r>
      <w:r w:rsidR="005E1195">
        <w:t xml:space="preserve">disagreement can be categorised by severity and matched with appropriate responses. </w:t>
      </w:r>
      <w:r w:rsidR="00925E05">
        <w:t xml:space="preserve">For mild conflict, mechanisms internal to the clinical setting have been suggested, with </w:t>
      </w:r>
      <w:r w:rsidR="005F26BA">
        <w:t>significant attention paid to good communication as a key strategy. There is much in the literature outlining the merits of sensitive, well-timed communication</w:t>
      </w:r>
      <w:r w:rsidR="00EE7C34">
        <w:t xml:space="preserve"> and shared decision-making</w:t>
      </w:r>
      <w:r w:rsidR="005F26BA">
        <w:t xml:space="preserve">, with healthcare professionals examining their own perceptions and seeking to understand </w:t>
      </w:r>
      <w:r w:rsidR="002761E9">
        <w:t xml:space="preserve">parental experiences of hope and “reality”. </w:t>
      </w:r>
      <w:r w:rsidR="004E03CB">
        <w:t xml:space="preserve">The literature </w:t>
      </w:r>
      <w:r w:rsidR="00187CF0">
        <w:t>outlines the value of specific</w:t>
      </w:r>
      <w:r w:rsidR="004E03CB">
        <w:t xml:space="preserve"> training </w:t>
      </w:r>
      <w:r w:rsidR="00187CF0">
        <w:t>for</w:t>
      </w:r>
      <w:r w:rsidR="004E03CB">
        <w:t xml:space="preserve"> professionals in communication skills and legal and ethical concepts</w:t>
      </w:r>
      <w:r w:rsidR="00187CF0">
        <w:t xml:space="preserve">. Managerial </w:t>
      </w:r>
      <w:r w:rsidR="000D1EA0">
        <w:t>strategies and Conflict Management Frameworks have been show</w:t>
      </w:r>
      <w:r w:rsidR="007A5BF6">
        <w:t>n</w:t>
      </w:r>
      <w:r w:rsidR="000D1EA0">
        <w:t xml:space="preserve"> to be beneficial in </w:t>
      </w:r>
      <w:r w:rsidR="00DB7FBD">
        <w:t xml:space="preserve">handling conflict, and include elements such as </w:t>
      </w:r>
      <w:r w:rsidR="003D685E">
        <w:t>guides for conversation, involvement of psychologists and provision of key work</w:t>
      </w:r>
      <w:r w:rsidR="009E7B04">
        <w:t>ers</w:t>
      </w:r>
      <w:r w:rsidR="003D685E">
        <w:t xml:space="preserve"> and single clinical leads. When conflict </w:t>
      </w:r>
      <w:r w:rsidR="00AE6F78">
        <w:t>escalates to moderate disagreement, the literature suggest</w:t>
      </w:r>
      <w:r w:rsidR="009E7B04">
        <w:t>s</w:t>
      </w:r>
      <w:r w:rsidR="00AE6F78">
        <w:t xml:space="preserve"> that </w:t>
      </w:r>
      <w:r w:rsidR="009E7B04">
        <w:t>third-party intervention may be needed. The use of expert second opinion is a common approach but</w:t>
      </w:r>
      <w:r w:rsidR="002E3A6B">
        <w:t xml:space="preserve"> its </w:t>
      </w:r>
      <w:r w:rsidR="00DD660C">
        <w:t>effectiveness in resolving dispute is cast in doubt</w:t>
      </w:r>
      <w:r w:rsidR="002B22CD">
        <w:t xml:space="preserve"> and it may even exacerbate conflict</w:t>
      </w:r>
      <w:r w:rsidR="00DD660C">
        <w:t>, given the potential for selection bias of expert</w:t>
      </w:r>
      <w:r w:rsidR="008A3751">
        <w:t>s</w:t>
      </w:r>
      <w:r w:rsidR="00DD660C">
        <w:t xml:space="preserve"> or the likelihood that the family will reject the expert opinion </w:t>
      </w:r>
      <w:r w:rsidR="00490B50">
        <w:t>i</w:t>
      </w:r>
      <w:r w:rsidR="00DD660C">
        <w:t>f it concurs with that of the treating team.</w:t>
      </w:r>
      <w:r w:rsidR="002B22CD">
        <w:t xml:space="preserve"> There is more promise seen in the use of Clinical Ethics Committees which provide for</w:t>
      </w:r>
      <w:r w:rsidR="00DB1026">
        <w:t xml:space="preserve"> examination of</w:t>
      </w:r>
      <w:r w:rsidR="002B22CD">
        <w:t xml:space="preserve"> a range of views</w:t>
      </w:r>
      <w:r w:rsidR="00DB1026">
        <w:t xml:space="preserve"> and whose conclusions could even potentially have a determinative role, but</w:t>
      </w:r>
      <w:r w:rsidR="00123A21">
        <w:t xml:space="preserve"> in order to be </w:t>
      </w:r>
      <w:r w:rsidR="00666533">
        <w:t>useful in resolving dispute</w:t>
      </w:r>
      <w:r w:rsidR="00490B50">
        <w:t xml:space="preserve"> they</w:t>
      </w:r>
      <w:r w:rsidR="00666533">
        <w:t xml:space="preserve"> would require a significant restructuring of form and remit, away from their current role in advising clinicians about ethics. Mediation as a resolution tool </w:t>
      </w:r>
      <w:r w:rsidR="00B82C47">
        <w:t>h</w:t>
      </w:r>
      <w:r w:rsidR="00666533">
        <w:t xml:space="preserve">as received significant attention </w:t>
      </w:r>
      <w:r w:rsidR="00DF098A">
        <w:t>in the academic literature and public and political debate. It is suggested that early use of mediation can be effective</w:t>
      </w:r>
      <w:r w:rsidR="003D3258">
        <w:t>,</w:t>
      </w:r>
      <w:r w:rsidR="00DF098A">
        <w:t xml:space="preserve"> and it may </w:t>
      </w:r>
      <w:r w:rsidR="00614E10">
        <w:t>better allow for the sharing of parental perspectives than the current CEC</w:t>
      </w:r>
      <w:r w:rsidR="00094868">
        <w:t xml:space="preserve"> structure permits.</w:t>
      </w:r>
      <w:r w:rsidR="00B82C47">
        <w:t xml:space="preserve"> However, mediation</w:t>
      </w:r>
      <w:r w:rsidR="00916B09">
        <w:t xml:space="preserve"> has less</w:t>
      </w:r>
      <w:r w:rsidR="00B82C47">
        <w:t xml:space="preserve"> success in resolving disputes about religious beliefs or m</w:t>
      </w:r>
      <w:r w:rsidR="00DF4D38">
        <w:t>oral values, than disagreements over medical facts</w:t>
      </w:r>
      <w:r w:rsidR="00916B09">
        <w:t>,</w:t>
      </w:r>
      <w:r w:rsidR="00DF4D38">
        <w:t xml:space="preserve"> and the literature is clear that its strength lies in its voluntary nature and therefor</w:t>
      </w:r>
      <w:r w:rsidR="00916B09">
        <w:t xml:space="preserve">e </w:t>
      </w:r>
      <w:r w:rsidR="00DF4D38">
        <w:t>mandated participation should be avoid</w:t>
      </w:r>
      <w:r w:rsidR="00916B09">
        <w:t>ed</w:t>
      </w:r>
      <w:r w:rsidR="00DF4D38">
        <w:t>. Finally, when dispute becomes severe,</w:t>
      </w:r>
      <w:r w:rsidR="005F7BD0">
        <w:t xml:space="preserve"> </w:t>
      </w:r>
      <w:r w:rsidR="00DF4D38">
        <w:t xml:space="preserve">legal intervention is often needed. </w:t>
      </w:r>
      <w:r w:rsidR="00620ACD">
        <w:t xml:space="preserve">Possible changes to the law have received substantial attention, in particular whether the threshold for intervention </w:t>
      </w:r>
      <w:r w:rsidR="006C069D">
        <w:t>in parental decision-making should be raised from best interests to significant harm. Whilst there are strongly made arguments on both side</w:t>
      </w:r>
      <w:r w:rsidR="00797BE6">
        <w:t>s</w:t>
      </w:r>
      <w:r w:rsidR="006C069D">
        <w:t xml:space="preserve">, there is no clear consensus in the academic literature. </w:t>
      </w:r>
      <w:r w:rsidR="00642D4D">
        <w:t xml:space="preserve">Changes to the best interests test have also been advocated, along with alternative </w:t>
      </w:r>
      <w:r w:rsidR="006B7DAE">
        <w:t>tests</w:t>
      </w:r>
      <w:r w:rsidR="003D3258">
        <w:t>,</w:t>
      </w:r>
      <w:r w:rsidR="006B7DAE">
        <w:t xml:space="preserve"> and court structures. </w:t>
      </w:r>
      <w:r w:rsidR="00324CF4">
        <w:t>Whilst there is recognition of the probl</w:t>
      </w:r>
      <w:r w:rsidR="004C16B1">
        <w:t>e</w:t>
      </w:r>
      <w:r w:rsidR="00324CF4">
        <w:t>m</w:t>
      </w:r>
      <w:r w:rsidR="004C16B1">
        <w:t>a</w:t>
      </w:r>
      <w:r w:rsidR="00324CF4">
        <w:t xml:space="preserve">tic aspects of court proceedings, the </w:t>
      </w:r>
      <w:r w:rsidR="004C16B1">
        <w:t xml:space="preserve">value of a transparent and robust </w:t>
      </w:r>
      <w:r w:rsidR="00FF2148">
        <w:t>legal process is also recognised.</w:t>
      </w:r>
    </w:p>
    <w:p w:rsidRPr="00FF2148" w:rsidR="00FF2148" w:rsidP="00FF2148" w:rsidRDefault="00FF2148" w14:paraId="519DBAE9" w14:textId="77777777">
      <w:pPr>
        <w:pStyle w:val="ListParagraph"/>
        <w:ind w:left="360"/>
        <w:jc w:val="both"/>
        <w:rPr>
          <w:color w:val="002060"/>
        </w:rPr>
      </w:pPr>
    </w:p>
    <w:p w:rsidR="006E01D9" w:rsidP="00215352" w:rsidRDefault="006E01D9" w14:paraId="671C799A" w14:textId="77EB2866">
      <w:pPr>
        <w:jc w:val="both"/>
        <w:rPr>
          <w:b/>
          <w:bCs/>
          <w:color w:val="002060"/>
          <w:sz w:val="28"/>
          <w:szCs w:val="28"/>
          <w:u w:val="single"/>
        </w:rPr>
      </w:pPr>
      <w:r w:rsidRPr="006E01D9">
        <w:rPr>
          <w:b/>
          <w:bCs/>
          <w:color w:val="002060"/>
          <w:sz w:val="28"/>
          <w:szCs w:val="28"/>
          <w:u w:val="single"/>
        </w:rPr>
        <w:t>Conclusion</w:t>
      </w:r>
    </w:p>
    <w:p w:rsidRPr="00C646CE" w:rsidR="00275B78" w:rsidP="004415C7" w:rsidRDefault="004C3799" w14:paraId="7938C7A3" w14:textId="44D9B958">
      <w:pPr>
        <w:pStyle w:val="ListParagraph"/>
        <w:numPr>
          <w:ilvl w:val="0"/>
          <w:numId w:val="2"/>
        </w:numPr>
        <w:jc w:val="both"/>
      </w:pPr>
      <w:r>
        <w:t xml:space="preserve">This review has examined the literature and evidence base relating to the causes, impact and possible resolution mechanisms </w:t>
      </w:r>
      <w:r w:rsidR="00560159">
        <w:t>in disagreements between parents and healthcare professionals about the care of critically ill children</w:t>
      </w:r>
      <w:r w:rsidR="00870360">
        <w:t>. Eight possible causes of conflict</w:t>
      </w:r>
      <w:r w:rsidR="00BD0F78">
        <w:t>, grouped into internal, relational and external factors,</w:t>
      </w:r>
      <w:r w:rsidR="00870360">
        <w:t xml:space="preserve"> have been identified,</w:t>
      </w:r>
      <w:r w:rsidRPr="090C4359" w:rsidR="00870360">
        <w:rPr>
          <w:sz w:val="24"/>
          <w:szCs w:val="24"/>
        </w:rPr>
        <w:t xml:space="preserve"> </w:t>
      </w:r>
      <w:r w:rsidR="00870360">
        <w:t>many of which may overlap and several</w:t>
      </w:r>
      <w:r w:rsidRPr="090C4359" w:rsidR="00870360">
        <w:rPr>
          <w:sz w:val="24"/>
          <w:szCs w:val="24"/>
        </w:rPr>
        <w:t xml:space="preserve"> </w:t>
      </w:r>
      <w:r w:rsidR="00870360">
        <w:t xml:space="preserve">may be present within an individual case. </w:t>
      </w:r>
      <w:r w:rsidR="002E3B44">
        <w:t>Whilst much popular focus has been on the external factors, such as the role of social me</w:t>
      </w:r>
      <w:r w:rsidR="00827D58">
        <w:t xml:space="preserve">dia and parental “rights” to chose alternative treatments, the literature has revealed that many disputes find their roots in </w:t>
      </w:r>
      <w:r w:rsidR="00A005D3">
        <w:t xml:space="preserve">internal </w:t>
      </w:r>
      <w:r w:rsidR="00FB5C1E">
        <w:t>or relational factors. C</w:t>
      </w:r>
      <w:r w:rsidR="00A005D3">
        <w:t>haracteristics</w:t>
      </w:r>
      <w:r w:rsidR="004D235D">
        <w:t xml:space="preserve"> and views</w:t>
      </w:r>
      <w:r w:rsidR="00A005D3">
        <w:t xml:space="preserve"> of either the parents or the professionals, such as </w:t>
      </w:r>
      <w:r w:rsidR="00412DED">
        <w:t>attitudes towards death, religious and value-based views about</w:t>
      </w:r>
      <w:r w:rsidR="00FB5C1E">
        <w:t xml:space="preserve"> </w:t>
      </w:r>
      <w:r w:rsidR="00D03EB1">
        <w:t>sanctity and quality of life and risks worth taking</w:t>
      </w:r>
      <w:r w:rsidR="008A1E4A">
        <w:t>,</w:t>
      </w:r>
      <w:r w:rsidR="00D03EB1">
        <w:t xml:space="preserve"> and narratives about the “good parent” and the clinicians “duty” all play a part. These </w:t>
      </w:r>
      <w:r w:rsidR="00C74124">
        <w:t>may the</w:t>
      </w:r>
      <w:r w:rsidR="00573E90">
        <w:t>n</w:t>
      </w:r>
      <w:r w:rsidR="00C74124">
        <w:t xml:space="preserve"> spill over int</w:t>
      </w:r>
      <w:r w:rsidR="00DC6060">
        <w:t>o fractures in the</w:t>
      </w:r>
      <w:r w:rsidR="00C74124">
        <w:t xml:space="preserve"> relational connections between the parties</w:t>
      </w:r>
      <w:r w:rsidR="00DC6060">
        <w:t>, manifested in communication difficulties or wrangles about the power balance in terms of decision-making</w:t>
      </w:r>
      <w:r w:rsidR="00035F56">
        <w:t>.</w:t>
      </w:r>
    </w:p>
    <w:p w:rsidRPr="00C646CE" w:rsidR="00035F56" w:rsidP="00035F56" w:rsidRDefault="00035F56" w14:paraId="71960AD9" w14:textId="77777777">
      <w:pPr>
        <w:pStyle w:val="ListParagraph"/>
        <w:ind w:left="502"/>
        <w:jc w:val="both"/>
      </w:pPr>
    </w:p>
    <w:p w:rsidRPr="00C646CE" w:rsidR="00F706AD" w:rsidP="004415C7" w:rsidRDefault="00DC6060" w14:paraId="23017FEF" w14:textId="77777777">
      <w:pPr>
        <w:pStyle w:val="ListParagraph"/>
        <w:numPr>
          <w:ilvl w:val="0"/>
          <w:numId w:val="2"/>
        </w:numPr>
        <w:jc w:val="both"/>
      </w:pPr>
      <w:r>
        <w:t>The impact of disagreement, and of court proce</w:t>
      </w:r>
      <w:r w:rsidR="005A2B22">
        <w:t>edings in particular, are clearly detailed in the literature. The evidence suggests that for parents, whilst disagreement is distressing</w:t>
      </w:r>
      <w:r w:rsidR="00702937">
        <w:t xml:space="preserve"> and can have long-lasting implications</w:t>
      </w:r>
      <w:r w:rsidR="005A2B22">
        <w:t xml:space="preserve">, the </w:t>
      </w:r>
      <w:r w:rsidR="00071CB3">
        <w:t>opportunity to be able to ‘say their piece’ and be heard, is</w:t>
      </w:r>
      <w:r w:rsidR="00702937">
        <w:t xml:space="preserve"> also</w:t>
      </w:r>
      <w:r w:rsidR="00071CB3">
        <w:t xml:space="preserve"> val</w:t>
      </w:r>
      <w:r w:rsidR="00702937">
        <w:t xml:space="preserve">ued. There is much less </w:t>
      </w:r>
      <w:r w:rsidR="00EC0D6D">
        <w:t>evidence</w:t>
      </w:r>
      <w:r w:rsidR="00100EB8">
        <w:t xml:space="preserve"> on the impact on the child</w:t>
      </w:r>
      <w:r w:rsidR="00EC0D6D">
        <w:t>, aside from an assumption that dis</w:t>
      </w:r>
      <w:r w:rsidR="00100EB8">
        <w:t>agreement (and possibly continued treatment during it) is</w:t>
      </w:r>
      <w:r w:rsidR="00EC0D6D">
        <w:t xml:space="preserve"> </w:t>
      </w:r>
      <w:r w:rsidR="00100EB8">
        <w:t xml:space="preserve">burdensome. For healthcare professionals, the NHS and society at large, the </w:t>
      </w:r>
      <w:r w:rsidR="00FC2595">
        <w:t>effects</w:t>
      </w:r>
      <w:r w:rsidR="00E70EC1">
        <w:t xml:space="preserve"> are moral distress and burnout, doubts about career prospects, financial </w:t>
      </w:r>
      <w:r w:rsidR="00FC2595">
        <w:t>implications and loss of trust in</w:t>
      </w:r>
      <w:r w:rsidR="005B616C">
        <w:t xml:space="preserve"> doctors and</w:t>
      </w:r>
      <w:r w:rsidR="00FC2595">
        <w:t xml:space="preserve"> the</w:t>
      </w:r>
      <w:r w:rsidR="005B616C">
        <w:t xml:space="preserve"> health service. </w:t>
      </w:r>
    </w:p>
    <w:p w:rsidRPr="00C646CE" w:rsidR="00F706AD" w:rsidP="00F706AD" w:rsidRDefault="00F706AD" w14:paraId="0B95A8BA" w14:textId="77777777">
      <w:pPr>
        <w:pStyle w:val="ListParagraph"/>
      </w:pPr>
    </w:p>
    <w:p w:rsidR="00937105" w:rsidP="00215352" w:rsidRDefault="00CE2169" w14:paraId="5C06F5AF" w14:textId="5CD0296D">
      <w:pPr>
        <w:pStyle w:val="ListParagraph"/>
        <w:numPr>
          <w:ilvl w:val="0"/>
          <w:numId w:val="2"/>
        </w:numPr>
        <w:jc w:val="both"/>
      </w:pPr>
      <w:r>
        <w:t xml:space="preserve">Eight potential mechanisms for resolution have been discussed, with the </w:t>
      </w:r>
      <w:r w:rsidR="00A36965">
        <w:t>appropriate resolution being matched with the severity of the disagreement. For initial or low</w:t>
      </w:r>
      <w:r w:rsidR="00430870">
        <w:t>-</w:t>
      </w:r>
      <w:r w:rsidR="00A36965">
        <w:t xml:space="preserve">level disputes, there is considerable evidence that </w:t>
      </w:r>
      <w:r w:rsidR="00E371F0">
        <w:t xml:space="preserve">better communication and conflict management frameworks have much success in avoiding dispute altogether or ameliorating it when it first arises. In the </w:t>
      </w:r>
      <w:r w:rsidR="004079DE">
        <w:t>‘</w:t>
      </w:r>
      <w:r w:rsidR="00E371F0">
        <w:t>moderate</w:t>
      </w:r>
      <w:r w:rsidR="004079DE">
        <w:t xml:space="preserve"> zone’ of disagreement, the literature suggest</w:t>
      </w:r>
      <w:r w:rsidR="00715723">
        <w:t>s</w:t>
      </w:r>
      <w:r w:rsidR="004079DE">
        <w:t xml:space="preserve"> third-party intervention may be helpful. Much attention has been paid to the role of CEC’s and mediation, and whilst the evidence suggests that more consistent</w:t>
      </w:r>
      <w:r w:rsidR="00C47278">
        <w:t>, and earlier,</w:t>
      </w:r>
      <w:r w:rsidR="004079DE">
        <w:t xml:space="preserve"> use of these may </w:t>
      </w:r>
      <w:r w:rsidR="00430870">
        <w:t>be beneficial in some circumstances</w:t>
      </w:r>
      <w:r w:rsidR="00715723">
        <w:t>, it appears limited or ineffective in others. Finally, sustained attention has been given to</w:t>
      </w:r>
      <w:r w:rsidR="00DE35FC">
        <w:t xml:space="preserve"> the use of</w:t>
      </w:r>
      <w:r w:rsidR="00715723">
        <w:t xml:space="preserve"> law</w:t>
      </w:r>
      <w:r w:rsidR="00DE35FC">
        <w:t xml:space="preserve"> in severe disagreement</w:t>
      </w:r>
      <w:r w:rsidR="00715723">
        <w:t xml:space="preserve"> and whether the legal threshold for intervention needs to be changed in an attempt to “re-dress the balance of power” between parents and profession</w:t>
      </w:r>
      <w:r w:rsidR="00F706AD">
        <w:t>als. The ‘Significant Harm’ debate has provoked strong arguments on either side</w:t>
      </w:r>
      <w:r w:rsidR="00500EEA">
        <w:t>,</w:t>
      </w:r>
      <w:r w:rsidR="00F20156">
        <w:t xml:space="preserve"> </w:t>
      </w:r>
      <w:r w:rsidR="00500EEA">
        <w:t>but has produced little consensus. In the final assessment, and despite the clear disbene</w:t>
      </w:r>
      <w:r w:rsidR="007237A0">
        <w:t xml:space="preserve">fits of litigation, the literature concedes that </w:t>
      </w:r>
      <w:r w:rsidR="00DF79D8">
        <w:t>the opportunity to use the courts in disagreements of this kind is a testament to t</w:t>
      </w:r>
      <w:r w:rsidR="00FC4CE1">
        <w:t>his jurisdiction</w:t>
      </w:r>
      <w:r w:rsidR="00F20156">
        <w:t>’</w:t>
      </w:r>
      <w:r w:rsidR="00FC4CE1">
        <w:t>s</w:t>
      </w:r>
      <w:r w:rsidR="00F20156">
        <w:t xml:space="preserve"> </w:t>
      </w:r>
      <w:r w:rsidR="00FC4CE1">
        <w:t xml:space="preserve">commitment to transparency, fairness and a reflection of a </w:t>
      </w:r>
      <w:r w:rsidR="00F20156">
        <w:t>pluralist society.</w:t>
      </w:r>
    </w:p>
    <w:p w:rsidR="00415CCE" w:rsidP="00415CCE" w:rsidRDefault="00415CCE" w14:paraId="38D210B1" w14:textId="233A573F">
      <w:pPr>
        <w:jc w:val="both"/>
      </w:pPr>
    </w:p>
    <w:p w:rsidR="00415CCE" w:rsidP="00415CCE" w:rsidRDefault="00415CCE" w14:paraId="1031E2A8" w14:textId="64D1078B">
      <w:pPr>
        <w:jc w:val="both"/>
      </w:pPr>
    </w:p>
    <w:p w:rsidR="00415CCE" w:rsidP="00415CCE" w:rsidRDefault="00415CCE" w14:paraId="421B4865" w14:textId="2BB52FEC">
      <w:pPr>
        <w:jc w:val="both"/>
      </w:pPr>
    </w:p>
    <w:p w:rsidR="00415CCE" w:rsidP="00415CCE" w:rsidRDefault="00415CCE" w14:paraId="60FC336B" w14:textId="464D8309">
      <w:pPr>
        <w:jc w:val="both"/>
      </w:pPr>
    </w:p>
    <w:p w:rsidR="00415CCE" w:rsidP="00415CCE" w:rsidRDefault="00415CCE" w14:paraId="26A8D114" w14:textId="3569B9D1">
      <w:pPr>
        <w:jc w:val="both"/>
      </w:pPr>
    </w:p>
    <w:p w:rsidR="00415CCE" w:rsidP="00415CCE" w:rsidRDefault="00415CCE" w14:paraId="340A60B1" w14:textId="0D2C3102">
      <w:pPr>
        <w:jc w:val="both"/>
      </w:pPr>
    </w:p>
    <w:p w:rsidR="00415CCE" w:rsidP="00415CCE" w:rsidRDefault="00415CCE" w14:paraId="7360D0DF" w14:textId="6439EF39">
      <w:pPr>
        <w:jc w:val="both"/>
      </w:pPr>
    </w:p>
    <w:p w:rsidR="00415CCE" w:rsidP="00415CCE" w:rsidRDefault="00415CCE" w14:paraId="1D9B536C" w14:textId="6ADC176B">
      <w:pPr>
        <w:jc w:val="both"/>
      </w:pPr>
    </w:p>
    <w:p w:rsidR="00415CCE" w:rsidP="00415CCE" w:rsidRDefault="00415CCE" w14:paraId="187B6520" w14:textId="50E33CD6">
      <w:pPr>
        <w:jc w:val="both"/>
      </w:pPr>
    </w:p>
    <w:p w:rsidR="00415CCE" w:rsidP="00415CCE" w:rsidRDefault="00415CCE" w14:paraId="38A1D122" w14:textId="32E0D4B4">
      <w:pPr>
        <w:jc w:val="both"/>
      </w:pPr>
    </w:p>
    <w:p w:rsidR="00415CCE" w:rsidP="00415CCE" w:rsidRDefault="00415CCE" w14:paraId="764CBE93" w14:textId="0AB95349">
      <w:pPr>
        <w:jc w:val="both"/>
      </w:pPr>
    </w:p>
    <w:p w:rsidR="00324CF4" w:rsidP="00415CCE" w:rsidRDefault="00324CF4" w14:paraId="02BCBDF6" w14:textId="1DD040D0">
      <w:pPr>
        <w:jc w:val="both"/>
      </w:pPr>
    </w:p>
    <w:p w:rsidR="00324CF4" w:rsidP="00415CCE" w:rsidRDefault="00324CF4" w14:paraId="5953391D" w14:textId="68C2FE4D">
      <w:pPr>
        <w:jc w:val="both"/>
      </w:pPr>
    </w:p>
    <w:p w:rsidR="00324CF4" w:rsidP="00415CCE" w:rsidRDefault="00324CF4" w14:paraId="1BA2B7FA" w14:textId="4C78A9CB">
      <w:pPr>
        <w:jc w:val="both"/>
      </w:pPr>
    </w:p>
    <w:p w:rsidR="00324CF4" w:rsidP="00415CCE" w:rsidRDefault="00324CF4" w14:paraId="4C169E85" w14:textId="1ACC42FD">
      <w:pPr>
        <w:jc w:val="both"/>
      </w:pPr>
    </w:p>
    <w:p w:rsidR="00324CF4" w:rsidP="00415CCE" w:rsidRDefault="00324CF4" w14:paraId="2932A241" w14:textId="16874FE3">
      <w:pPr>
        <w:jc w:val="both"/>
      </w:pPr>
    </w:p>
    <w:p w:rsidR="00324CF4" w:rsidP="00415CCE" w:rsidRDefault="00324CF4" w14:paraId="60107AC0" w14:textId="7341F5EF">
      <w:pPr>
        <w:jc w:val="both"/>
      </w:pPr>
    </w:p>
    <w:p w:rsidR="00324CF4" w:rsidP="00415CCE" w:rsidRDefault="00324CF4" w14:paraId="4484B807" w14:textId="3294B518">
      <w:pPr>
        <w:jc w:val="both"/>
      </w:pPr>
    </w:p>
    <w:p w:rsidR="00324CF4" w:rsidP="00415CCE" w:rsidRDefault="00324CF4" w14:paraId="2B9788A0" w14:textId="6F613AC3">
      <w:pPr>
        <w:jc w:val="both"/>
      </w:pPr>
    </w:p>
    <w:p w:rsidR="00324CF4" w:rsidP="00415CCE" w:rsidRDefault="00324CF4" w14:paraId="0018467A" w14:textId="3E545EB5">
      <w:pPr>
        <w:jc w:val="both"/>
      </w:pPr>
    </w:p>
    <w:p w:rsidR="002D3BE4" w:rsidP="00C4744F" w:rsidRDefault="002D3BE4" w14:paraId="077710D5" w14:textId="77777777"/>
    <w:p w:rsidR="00955964" w:rsidRDefault="00955964" w14:paraId="1BEF4C46" w14:textId="77777777">
      <w:pPr>
        <w:rPr>
          <w:b/>
          <w:bCs/>
          <w:color w:val="002060"/>
          <w:sz w:val="28"/>
          <w:szCs w:val="28"/>
          <w:u w:val="single"/>
        </w:rPr>
      </w:pPr>
      <w:r>
        <w:rPr>
          <w:b/>
          <w:bCs/>
          <w:color w:val="002060"/>
          <w:sz w:val="28"/>
          <w:szCs w:val="28"/>
          <w:u w:val="single"/>
        </w:rPr>
        <w:br w:type="page"/>
      </w:r>
    </w:p>
    <w:p w:rsidRPr="00C4744F" w:rsidR="00511494" w:rsidP="00C4744F" w:rsidRDefault="00511494" w14:paraId="4F8ADF2A" w14:textId="0ADB58EE">
      <w:pPr>
        <w:rPr>
          <w:b/>
          <w:bCs/>
          <w:color w:val="002060"/>
          <w:sz w:val="28"/>
          <w:szCs w:val="28"/>
          <w:u w:val="single"/>
        </w:rPr>
      </w:pPr>
      <w:r w:rsidRPr="00C4744F">
        <w:rPr>
          <w:b/>
          <w:bCs/>
          <w:color w:val="002060"/>
          <w:sz w:val="28"/>
          <w:szCs w:val="28"/>
          <w:u w:val="single"/>
        </w:rPr>
        <w:t>Bibliography</w:t>
      </w:r>
    </w:p>
    <w:p w:rsidRPr="00C4744F" w:rsidR="00511494" w:rsidP="00C4744F" w:rsidRDefault="00511494" w14:paraId="1DA02CBF" w14:textId="5F2EDD3C">
      <w:pPr>
        <w:rPr>
          <w:rFonts w:cstheme="minorHAnsi"/>
          <w:u w:val="single"/>
        </w:rPr>
      </w:pPr>
      <w:r w:rsidRPr="00C4744F">
        <w:rPr>
          <w:rFonts w:cstheme="minorHAnsi"/>
          <w:u w:val="single"/>
        </w:rPr>
        <w:t xml:space="preserve">Case Law (In chronological </w:t>
      </w:r>
      <w:r w:rsidRPr="00C4744F" w:rsidR="00A1378C">
        <w:rPr>
          <w:rFonts w:cstheme="minorHAnsi"/>
          <w:u w:val="single"/>
        </w:rPr>
        <w:t>o</w:t>
      </w:r>
      <w:r w:rsidRPr="00C4744F">
        <w:rPr>
          <w:rFonts w:cstheme="minorHAnsi"/>
          <w:u w:val="single"/>
        </w:rPr>
        <w:t>rder)</w:t>
      </w:r>
    </w:p>
    <w:p w:rsidRPr="00C4744F" w:rsidR="00511494" w:rsidP="00C4744F" w:rsidRDefault="00511494" w14:paraId="24E150BD" w14:textId="77777777">
      <w:pPr>
        <w:rPr>
          <w:rFonts w:cstheme="minorHAnsi"/>
        </w:rPr>
      </w:pPr>
      <w:r w:rsidRPr="00C4744F">
        <w:rPr>
          <w:rFonts w:cstheme="minorHAnsi"/>
          <w:i/>
          <w:iCs/>
        </w:rPr>
        <w:t xml:space="preserve">Great Ormond Street Hospital </w:t>
      </w:r>
      <w:r w:rsidRPr="00C4744F">
        <w:rPr>
          <w:rFonts w:cstheme="minorHAnsi"/>
        </w:rPr>
        <w:t>v</w:t>
      </w:r>
      <w:r w:rsidRPr="00C4744F">
        <w:rPr>
          <w:rFonts w:cstheme="minorHAnsi"/>
          <w:i/>
          <w:iCs/>
        </w:rPr>
        <w:t xml:space="preserve"> Yates and</w:t>
      </w:r>
      <w:r w:rsidRPr="00C4744F">
        <w:rPr>
          <w:rFonts w:cstheme="minorHAnsi"/>
        </w:rPr>
        <w:t xml:space="preserve"> Ors [2017] EWHC 972 (Fam)</w:t>
      </w:r>
    </w:p>
    <w:p w:rsidRPr="008F0044" w:rsidR="000C3838" w:rsidP="00A1378C" w:rsidRDefault="000C3838" w14:paraId="50A1F138" w14:textId="77777777">
      <w:pPr>
        <w:pStyle w:val="ListParagraph"/>
        <w:ind w:left="360"/>
        <w:rPr>
          <w:rFonts w:cstheme="minorHAnsi"/>
        </w:rPr>
      </w:pPr>
    </w:p>
    <w:p w:rsidRPr="00C4744F" w:rsidR="00511494" w:rsidP="00C4744F" w:rsidRDefault="00511494" w14:paraId="72E322B9" w14:textId="46C7B399">
      <w:pPr>
        <w:rPr>
          <w:rFonts w:cstheme="minorHAnsi"/>
        </w:rPr>
      </w:pPr>
      <w:r w:rsidRPr="00C4744F">
        <w:rPr>
          <w:rFonts w:cstheme="minorHAnsi"/>
          <w:i/>
          <w:iCs/>
        </w:rPr>
        <w:t>In the Matter of Charles Gard</w:t>
      </w:r>
      <w:r w:rsidRPr="00C4744F">
        <w:rPr>
          <w:rFonts w:cstheme="minorHAnsi"/>
        </w:rPr>
        <w:t xml:space="preserve"> [2017] EWCA Civ 41</w:t>
      </w:r>
      <w:r w:rsidRPr="00C4744F" w:rsidR="000C3838">
        <w:rPr>
          <w:rFonts w:cstheme="minorHAnsi"/>
        </w:rPr>
        <w:t>0</w:t>
      </w:r>
    </w:p>
    <w:p w:rsidRPr="008F0044" w:rsidR="000C3838" w:rsidP="00A1378C" w:rsidRDefault="000C3838" w14:paraId="56E08829" w14:textId="77777777">
      <w:pPr>
        <w:pStyle w:val="ListParagraph"/>
        <w:ind w:left="360"/>
        <w:rPr>
          <w:rFonts w:cstheme="minorHAnsi"/>
        </w:rPr>
      </w:pPr>
    </w:p>
    <w:p w:rsidRPr="00C4744F" w:rsidR="00511494" w:rsidP="00C4744F" w:rsidRDefault="00511494" w14:paraId="0EB7F8AA" w14:textId="77777777">
      <w:pPr>
        <w:rPr>
          <w:rFonts w:cstheme="minorHAnsi"/>
        </w:rPr>
      </w:pPr>
      <w:r w:rsidRPr="00C4744F">
        <w:rPr>
          <w:rFonts w:cstheme="minorHAnsi"/>
          <w:i/>
          <w:iCs/>
        </w:rPr>
        <w:t xml:space="preserve">Charles Gard and Others </w:t>
      </w:r>
      <w:r w:rsidRPr="00C4744F">
        <w:rPr>
          <w:rFonts w:cstheme="minorHAnsi"/>
        </w:rPr>
        <w:t>v</w:t>
      </w:r>
      <w:r w:rsidRPr="00C4744F">
        <w:rPr>
          <w:rFonts w:cstheme="minorHAnsi"/>
          <w:i/>
          <w:iCs/>
        </w:rPr>
        <w:t xml:space="preserve"> United Kingdom</w:t>
      </w:r>
      <w:r w:rsidRPr="00C4744F">
        <w:rPr>
          <w:rFonts w:cstheme="minorHAnsi"/>
        </w:rPr>
        <w:t xml:space="preserve"> [2017] Application no. 39793/17</w:t>
      </w:r>
    </w:p>
    <w:p w:rsidRPr="008F0044" w:rsidR="000C3838" w:rsidP="00A1378C" w:rsidRDefault="000C3838" w14:paraId="39BA5AD3" w14:textId="77777777">
      <w:pPr>
        <w:pStyle w:val="ListParagraph"/>
        <w:ind w:left="360"/>
        <w:rPr>
          <w:rFonts w:cstheme="minorHAnsi"/>
        </w:rPr>
      </w:pPr>
    </w:p>
    <w:p w:rsidRPr="00C4744F" w:rsidR="00511494" w:rsidP="00C4744F" w:rsidRDefault="00511494" w14:paraId="42CB4323" w14:textId="77777777">
      <w:pPr>
        <w:rPr>
          <w:rFonts w:cstheme="minorHAnsi"/>
        </w:rPr>
      </w:pPr>
      <w:r w:rsidRPr="00C4744F">
        <w:rPr>
          <w:rFonts w:cstheme="minorHAnsi"/>
          <w:i/>
          <w:iCs/>
        </w:rPr>
        <w:t xml:space="preserve">GOSH </w:t>
      </w:r>
      <w:r w:rsidRPr="00C4744F">
        <w:rPr>
          <w:rFonts w:cstheme="minorHAnsi"/>
        </w:rPr>
        <w:t>v</w:t>
      </w:r>
      <w:r w:rsidRPr="00C4744F">
        <w:rPr>
          <w:rFonts w:cstheme="minorHAnsi"/>
          <w:i/>
          <w:iCs/>
        </w:rPr>
        <w:t xml:space="preserve"> Gard, Yates and Gard</w:t>
      </w:r>
      <w:r w:rsidRPr="00C4744F">
        <w:rPr>
          <w:rFonts w:cstheme="minorHAnsi"/>
        </w:rPr>
        <w:t xml:space="preserve"> [2017] EWHC 1909</w:t>
      </w:r>
    </w:p>
    <w:p w:rsidRPr="008F0044" w:rsidR="000C3838" w:rsidP="00A1378C" w:rsidRDefault="000C3838" w14:paraId="22D6EA11" w14:textId="77777777">
      <w:pPr>
        <w:pStyle w:val="ListParagraph"/>
        <w:ind w:left="360"/>
        <w:rPr>
          <w:rFonts w:cstheme="minorHAnsi"/>
        </w:rPr>
      </w:pPr>
    </w:p>
    <w:p w:rsidRPr="00C4744F" w:rsidR="00324CF4" w:rsidP="00C4744F" w:rsidRDefault="00511494" w14:paraId="7F9066EE" w14:textId="1A07AB61">
      <w:pPr>
        <w:rPr>
          <w:rFonts w:cstheme="minorHAnsi"/>
        </w:rPr>
      </w:pPr>
      <w:r w:rsidRPr="00C4744F">
        <w:rPr>
          <w:rFonts w:cstheme="minorHAnsi"/>
          <w:i/>
          <w:iCs/>
        </w:rPr>
        <w:t xml:space="preserve">R (A Child) </w:t>
      </w:r>
      <w:r w:rsidRPr="00C4744F">
        <w:rPr>
          <w:rFonts w:cstheme="minorHAnsi"/>
        </w:rPr>
        <w:t>[2018] EWFC 28.</w:t>
      </w:r>
    </w:p>
    <w:p w:rsidRPr="008F0044" w:rsidR="000C3838" w:rsidP="00A1378C" w:rsidRDefault="000C3838" w14:paraId="519D11E7" w14:textId="77777777">
      <w:pPr>
        <w:pStyle w:val="ListParagraph"/>
        <w:ind w:left="360"/>
        <w:rPr>
          <w:rFonts w:cstheme="minorHAnsi"/>
        </w:rPr>
      </w:pPr>
    </w:p>
    <w:p w:rsidRPr="008F0044" w:rsidR="00511494" w:rsidP="00C4744F" w:rsidRDefault="00511494" w14:paraId="1D9BA00C" w14:textId="77777777">
      <w:pPr>
        <w:pStyle w:val="FootnoteText"/>
        <w:rPr>
          <w:rFonts w:cstheme="minorHAnsi"/>
          <w:sz w:val="22"/>
          <w:szCs w:val="22"/>
        </w:rPr>
      </w:pPr>
      <w:r w:rsidRPr="008F0044">
        <w:rPr>
          <w:rFonts w:cstheme="minorHAnsi"/>
          <w:i/>
          <w:iCs/>
          <w:sz w:val="22"/>
          <w:szCs w:val="22"/>
        </w:rPr>
        <w:t xml:space="preserve">Alder Hey Children’s NHS Foundation Trust </w:t>
      </w:r>
      <w:r w:rsidRPr="008F0044">
        <w:rPr>
          <w:rFonts w:cstheme="minorHAnsi"/>
          <w:sz w:val="22"/>
          <w:szCs w:val="22"/>
        </w:rPr>
        <w:t>v</w:t>
      </w:r>
      <w:r w:rsidRPr="008F0044">
        <w:rPr>
          <w:rFonts w:cstheme="minorHAnsi"/>
          <w:i/>
          <w:iCs/>
          <w:sz w:val="22"/>
          <w:szCs w:val="22"/>
        </w:rPr>
        <w:t xml:space="preserve"> Evans</w:t>
      </w:r>
      <w:r w:rsidRPr="008F0044">
        <w:rPr>
          <w:rFonts w:cstheme="minorHAnsi"/>
          <w:sz w:val="22"/>
          <w:szCs w:val="22"/>
        </w:rPr>
        <w:t xml:space="preserve"> [2018] EWHC 308</w:t>
      </w:r>
    </w:p>
    <w:p w:rsidRPr="008F0044" w:rsidR="00511494" w:rsidP="000C3838" w:rsidRDefault="00511494" w14:paraId="7657B017" w14:textId="77777777">
      <w:pPr>
        <w:pStyle w:val="FootnoteText"/>
        <w:ind w:left="360"/>
        <w:rPr>
          <w:rFonts w:cstheme="minorHAnsi"/>
          <w:sz w:val="22"/>
          <w:szCs w:val="22"/>
        </w:rPr>
      </w:pPr>
    </w:p>
    <w:p w:rsidRPr="008F0044" w:rsidR="00511494" w:rsidP="00C4744F" w:rsidRDefault="00511494" w14:paraId="1D0B6A5A" w14:textId="77777777">
      <w:pPr>
        <w:pStyle w:val="FootnoteText"/>
        <w:rPr>
          <w:rFonts w:cstheme="minorHAnsi"/>
          <w:sz w:val="22"/>
          <w:szCs w:val="22"/>
        </w:rPr>
      </w:pPr>
      <w:r w:rsidRPr="008F0044">
        <w:rPr>
          <w:rFonts w:cstheme="minorHAnsi"/>
          <w:i/>
          <w:iCs/>
          <w:sz w:val="22"/>
          <w:szCs w:val="22"/>
        </w:rPr>
        <w:t>In the Matter of E (A Child)</w:t>
      </w:r>
      <w:r w:rsidRPr="008F0044">
        <w:rPr>
          <w:rFonts w:cstheme="minorHAnsi"/>
          <w:sz w:val="22"/>
          <w:szCs w:val="22"/>
        </w:rPr>
        <w:t xml:space="preserve"> [2018] EWCA Civ 550</w:t>
      </w:r>
    </w:p>
    <w:p w:rsidRPr="008F0044" w:rsidR="00511494" w:rsidP="000C3838" w:rsidRDefault="00511494" w14:paraId="59FBCC3F" w14:textId="77777777">
      <w:pPr>
        <w:pStyle w:val="FootnoteText"/>
        <w:ind w:left="360"/>
        <w:rPr>
          <w:rFonts w:cstheme="minorHAnsi"/>
          <w:sz w:val="22"/>
          <w:szCs w:val="22"/>
        </w:rPr>
      </w:pPr>
    </w:p>
    <w:p w:rsidRPr="008F0044" w:rsidR="00511494" w:rsidP="00C4744F" w:rsidRDefault="00511494" w14:paraId="2BD766A7" w14:textId="77777777">
      <w:pPr>
        <w:pStyle w:val="FootnoteText"/>
        <w:rPr>
          <w:rFonts w:cstheme="minorHAnsi"/>
          <w:sz w:val="22"/>
          <w:szCs w:val="22"/>
        </w:rPr>
      </w:pPr>
      <w:r w:rsidRPr="008F0044">
        <w:rPr>
          <w:rFonts w:cstheme="minorHAnsi"/>
          <w:i/>
          <w:iCs/>
          <w:sz w:val="22"/>
          <w:szCs w:val="22"/>
        </w:rPr>
        <w:t>Alder Hey Children’s NHS Foundation Trust</w:t>
      </w:r>
      <w:r w:rsidRPr="008F0044">
        <w:rPr>
          <w:rFonts w:cstheme="minorHAnsi"/>
          <w:sz w:val="22"/>
          <w:szCs w:val="22"/>
        </w:rPr>
        <w:t xml:space="preserve"> v</w:t>
      </w:r>
      <w:r w:rsidRPr="008F0044">
        <w:rPr>
          <w:rFonts w:cstheme="minorHAnsi"/>
          <w:i/>
          <w:iCs/>
          <w:sz w:val="22"/>
          <w:szCs w:val="22"/>
        </w:rPr>
        <w:t xml:space="preserve"> Evans</w:t>
      </w:r>
      <w:r w:rsidRPr="008F0044">
        <w:rPr>
          <w:rFonts w:cstheme="minorHAnsi"/>
          <w:sz w:val="22"/>
          <w:szCs w:val="22"/>
        </w:rPr>
        <w:t xml:space="preserve"> [2018] EWHC 818</w:t>
      </w:r>
    </w:p>
    <w:p w:rsidRPr="008F0044" w:rsidR="00511494" w:rsidP="000C3838" w:rsidRDefault="00511494" w14:paraId="0189DF60" w14:textId="77777777">
      <w:pPr>
        <w:pStyle w:val="FootnoteText"/>
        <w:ind w:left="360"/>
        <w:rPr>
          <w:rFonts w:cstheme="minorHAnsi"/>
          <w:sz w:val="22"/>
          <w:szCs w:val="22"/>
        </w:rPr>
      </w:pPr>
    </w:p>
    <w:p w:rsidRPr="008F0044" w:rsidR="00511494" w:rsidP="00C4744F" w:rsidRDefault="00511494" w14:paraId="214B1D06" w14:textId="77777777">
      <w:pPr>
        <w:pStyle w:val="FootnoteText"/>
        <w:rPr>
          <w:rFonts w:cstheme="minorHAnsi"/>
          <w:sz w:val="22"/>
          <w:szCs w:val="22"/>
        </w:rPr>
      </w:pPr>
      <w:r w:rsidRPr="008F0044">
        <w:rPr>
          <w:rFonts w:cstheme="minorHAnsi"/>
          <w:i/>
          <w:iCs/>
          <w:sz w:val="22"/>
          <w:szCs w:val="22"/>
        </w:rPr>
        <w:t xml:space="preserve">Evans </w:t>
      </w:r>
      <w:r w:rsidRPr="008F0044">
        <w:rPr>
          <w:rFonts w:cstheme="minorHAnsi"/>
          <w:sz w:val="22"/>
          <w:szCs w:val="22"/>
        </w:rPr>
        <w:t>v</w:t>
      </w:r>
      <w:r w:rsidRPr="008F0044">
        <w:rPr>
          <w:rFonts w:cstheme="minorHAnsi"/>
          <w:i/>
          <w:iCs/>
          <w:sz w:val="22"/>
          <w:szCs w:val="22"/>
        </w:rPr>
        <w:t xml:space="preserve"> Alder Hey Children’s NHS Foundation Trust </w:t>
      </w:r>
      <w:r w:rsidRPr="008F0044">
        <w:rPr>
          <w:rFonts w:cstheme="minorHAnsi"/>
          <w:sz w:val="22"/>
          <w:szCs w:val="22"/>
        </w:rPr>
        <w:t xml:space="preserve">[2018] EWCA Civ 805 </w:t>
      </w:r>
    </w:p>
    <w:p w:rsidRPr="008F0044" w:rsidR="00511494" w:rsidP="000C3838" w:rsidRDefault="00511494" w14:paraId="59A53D08" w14:textId="77777777">
      <w:pPr>
        <w:pStyle w:val="FootnoteText"/>
        <w:ind w:left="360"/>
        <w:rPr>
          <w:rFonts w:cstheme="minorHAnsi"/>
          <w:sz w:val="22"/>
          <w:szCs w:val="22"/>
        </w:rPr>
      </w:pPr>
    </w:p>
    <w:p w:rsidRPr="008F0044" w:rsidR="00511494" w:rsidP="00C4744F" w:rsidRDefault="00511494" w14:paraId="332336AF" w14:textId="77777777">
      <w:pPr>
        <w:pStyle w:val="FootnoteText"/>
        <w:rPr>
          <w:rFonts w:cstheme="minorHAnsi"/>
          <w:i/>
          <w:iCs/>
          <w:sz w:val="22"/>
          <w:szCs w:val="22"/>
        </w:rPr>
      </w:pPr>
      <w:r w:rsidRPr="008F0044">
        <w:rPr>
          <w:rFonts w:cstheme="minorHAnsi"/>
          <w:i/>
          <w:iCs/>
          <w:sz w:val="22"/>
          <w:szCs w:val="22"/>
        </w:rPr>
        <w:t>Alder Hey Children’s NHS Foundation Trust</w:t>
      </w:r>
      <w:r w:rsidRPr="008F0044">
        <w:rPr>
          <w:rFonts w:cstheme="minorHAnsi"/>
          <w:sz w:val="22"/>
          <w:szCs w:val="22"/>
        </w:rPr>
        <w:t xml:space="preserve"> v</w:t>
      </w:r>
      <w:r w:rsidRPr="008F0044">
        <w:rPr>
          <w:rFonts w:cstheme="minorHAnsi"/>
          <w:i/>
          <w:iCs/>
          <w:sz w:val="22"/>
          <w:szCs w:val="22"/>
        </w:rPr>
        <w:t xml:space="preserve"> Evans</w:t>
      </w:r>
      <w:r w:rsidRPr="008F0044">
        <w:rPr>
          <w:rFonts w:cstheme="minorHAnsi"/>
          <w:sz w:val="22"/>
          <w:szCs w:val="22"/>
        </w:rPr>
        <w:t xml:space="preserve"> [2018] EWHC 953</w:t>
      </w:r>
    </w:p>
    <w:p w:rsidRPr="008F0044" w:rsidR="00511494" w:rsidP="000C3838" w:rsidRDefault="00511494" w14:paraId="68F5A067" w14:textId="77777777">
      <w:pPr>
        <w:pStyle w:val="FootnoteText"/>
        <w:ind w:left="360"/>
        <w:rPr>
          <w:rFonts w:cstheme="minorHAnsi"/>
          <w:i/>
          <w:iCs/>
          <w:sz w:val="22"/>
          <w:szCs w:val="22"/>
        </w:rPr>
      </w:pPr>
    </w:p>
    <w:p w:rsidRPr="008F0044" w:rsidR="00511494" w:rsidP="00C4744F" w:rsidRDefault="00511494" w14:paraId="32177E8A" w14:textId="77777777">
      <w:pPr>
        <w:pStyle w:val="FootnoteText"/>
        <w:rPr>
          <w:rFonts w:cstheme="minorHAnsi"/>
          <w:sz w:val="22"/>
          <w:szCs w:val="22"/>
        </w:rPr>
      </w:pPr>
      <w:r w:rsidRPr="008F0044">
        <w:rPr>
          <w:rFonts w:cstheme="minorHAnsi"/>
          <w:i/>
          <w:iCs/>
          <w:sz w:val="22"/>
          <w:szCs w:val="22"/>
        </w:rPr>
        <w:t xml:space="preserve">Evans </w:t>
      </w:r>
      <w:r w:rsidRPr="008F0044">
        <w:rPr>
          <w:rFonts w:cstheme="minorHAnsi"/>
          <w:sz w:val="22"/>
          <w:szCs w:val="22"/>
        </w:rPr>
        <w:t>v</w:t>
      </w:r>
      <w:r w:rsidRPr="008F0044">
        <w:rPr>
          <w:rFonts w:cstheme="minorHAnsi"/>
          <w:i/>
          <w:iCs/>
          <w:sz w:val="22"/>
          <w:szCs w:val="22"/>
        </w:rPr>
        <w:t xml:space="preserve"> Alder Hey Children’s NHS Foundation Trust</w:t>
      </w:r>
      <w:r w:rsidRPr="008F0044">
        <w:rPr>
          <w:rFonts w:cstheme="minorHAnsi"/>
          <w:sz w:val="22"/>
          <w:szCs w:val="22"/>
        </w:rPr>
        <w:t xml:space="preserve"> [2018] EWCA Civ 984</w:t>
      </w:r>
    </w:p>
    <w:p w:rsidRPr="008F0044" w:rsidR="00511494" w:rsidP="000C3838" w:rsidRDefault="00511494" w14:paraId="4A5E35EB" w14:textId="77777777">
      <w:pPr>
        <w:pStyle w:val="FootnoteText"/>
        <w:ind w:left="360"/>
        <w:rPr>
          <w:rFonts w:cstheme="minorHAnsi"/>
          <w:sz w:val="22"/>
          <w:szCs w:val="22"/>
        </w:rPr>
      </w:pPr>
    </w:p>
    <w:p w:rsidRPr="00C4744F" w:rsidR="00511494" w:rsidP="00C4744F" w:rsidRDefault="00511494" w14:paraId="1B4764A5" w14:textId="77777777">
      <w:pPr>
        <w:rPr>
          <w:rFonts w:cstheme="minorHAnsi"/>
        </w:rPr>
      </w:pPr>
      <w:r w:rsidRPr="00C4744F">
        <w:rPr>
          <w:rFonts w:cstheme="minorHAnsi"/>
          <w:i/>
          <w:iCs/>
        </w:rPr>
        <w:t xml:space="preserve">Tafida Raqeeb </w:t>
      </w:r>
      <w:r w:rsidRPr="00C4744F">
        <w:rPr>
          <w:rFonts w:cstheme="minorHAnsi"/>
        </w:rPr>
        <w:t>v</w:t>
      </w:r>
      <w:r w:rsidRPr="00C4744F">
        <w:rPr>
          <w:rFonts w:cstheme="minorHAnsi"/>
          <w:i/>
          <w:iCs/>
        </w:rPr>
        <w:t xml:space="preserve"> Barts NHS Foundation Trust</w:t>
      </w:r>
      <w:r w:rsidRPr="00C4744F">
        <w:rPr>
          <w:rFonts w:cstheme="minorHAnsi"/>
        </w:rPr>
        <w:t xml:space="preserve"> [2019] EWHC 2531 (admin)</w:t>
      </w:r>
    </w:p>
    <w:p w:rsidRPr="008F0044" w:rsidR="000C3838" w:rsidP="000C3838" w:rsidRDefault="000C3838" w14:paraId="4321D36C" w14:textId="77777777">
      <w:pPr>
        <w:pStyle w:val="ListParagraph"/>
        <w:ind w:left="360"/>
        <w:rPr>
          <w:rFonts w:cstheme="minorHAnsi"/>
          <w:u w:val="single"/>
        </w:rPr>
      </w:pPr>
    </w:p>
    <w:p w:rsidRPr="00C4744F" w:rsidR="00511494" w:rsidP="00C4744F" w:rsidRDefault="00511494" w14:paraId="1CECD37A" w14:textId="77777777">
      <w:pPr>
        <w:rPr>
          <w:rFonts w:cstheme="minorHAnsi"/>
        </w:rPr>
      </w:pPr>
      <w:r w:rsidRPr="00C4744F">
        <w:rPr>
          <w:rFonts w:cstheme="minorHAnsi"/>
          <w:i/>
          <w:iCs/>
        </w:rPr>
        <w:t xml:space="preserve">Barts NHS Foundation Trust </w:t>
      </w:r>
      <w:r w:rsidRPr="00C4744F">
        <w:rPr>
          <w:rFonts w:cstheme="minorHAnsi"/>
        </w:rPr>
        <w:t>v</w:t>
      </w:r>
      <w:r w:rsidRPr="00C4744F">
        <w:rPr>
          <w:rFonts w:cstheme="minorHAnsi"/>
          <w:i/>
          <w:iCs/>
        </w:rPr>
        <w:t xml:space="preserve"> Shalina Begum and Muhhamed Raqeeb and Taifa Raqeeb</w:t>
      </w:r>
      <w:r w:rsidRPr="00C4744F">
        <w:rPr>
          <w:rFonts w:cstheme="minorHAnsi"/>
        </w:rPr>
        <w:t xml:space="preserve"> [2019] EWHC 2530 (fam)</w:t>
      </w:r>
    </w:p>
    <w:p w:rsidRPr="008F0044" w:rsidR="000C3838" w:rsidP="000C3838" w:rsidRDefault="000C3838" w14:paraId="5C4AFCF9" w14:textId="77777777">
      <w:pPr>
        <w:pStyle w:val="ListParagraph"/>
        <w:ind w:left="360"/>
        <w:rPr>
          <w:rFonts w:cstheme="minorHAnsi"/>
        </w:rPr>
      </w:pPr>
    </w:p>
    <w:p w:rsidRPr="00C4744F" w:rsidR="00511494" w:rsidP="00C4744F" w:rsidRDefault="00511494" w14:paraId="4479B860" w14:textId="77777777">
      <w:pPr>
        <w:rPr>
          <w:rFonts w:cstheme="minorHAnsi"/>
        </w:rPr>
      </w:pPr>
      <w:r w:rsidRPr="00C4744F">
        <w:rPr>
          <w:rFonts w:cstheme="minorHAnsi"/>
          <w:i/>
          <w:iCs/>
        </w:rPr>
        <w:t>Guy’s and St Thomas’s Children’s NHS Foundation Trust v Knight</w:t>
      </w:r>
      <w:r w:rsidRPr="00C4744F">
        <w:rPr>
          <w:rFonts w:cstheme="minorHAnsi"/>
        </w:rPr>
        <w:t xml:space="preserve"> [2021] EWHC 25</w:t>
      </w:r>
    </w:p>
    <w:p w:rsidRPr="008F0044" w:rsidR="000C3838" w:rsidP="000C3838" w:rsidRDefault="000C3838" w14:paraId="48B52E09" w14:textId="77777777">
      <w:pPr>
        <w:pStyle w:val="ListParagraph"/>
        <w:ind w:left="360"/>
        <w:rPr>
          <w:rFonts w:cstheme="minorHAnsi"/>
        </w:rPr>
      </w:pPr>
    </w:p>
    <w:p w:rsidRPr="00C4744F" w:rsidR="00511494" w:rsidP="00C4744F" w:rsidRDefault="00511494" w14:paraId="0CA3188A" w14:textId="77777777">
      <w:pPr>
        <w:rPr>
          <w:rFonts w:cstheme="minorHAnsi"/>
        </w:rPr>
      </w:pPr>
      <w:r w:rsidRPr="00C4744F">
        <w:rPr>
          <w:rFonts w:cstheme="minorHAnsi"/>
          <w:i/>
          <w:iCs/>
        </w:rPr>
        <w:t>In the Matter of Pippa Knight (A Child)</w:t>
      </w:r>
      <w:r w:rsidRPr="00C4744F">
        <w:rPr>
          <w:rFonts w:cstheme="minorHAnsi"/>
        </w:rPr>
        <w:t xml:space="preserve"> [2021] EWCA Civ 362</w:t>
      </w:r>
    </w:p>
    <w:p w:rsidRPr="008F0044" w:rsidR="000C3838" w:rsidP="000C3838" w:rsidRDefault="000C3838" w14:paraId="364D657B" w14:textId="77777777">
      <w:pPr>
        <w:pStyle w:val="ListParagraph"/>
        <w:ind w:left="360"/>
        <w:rPr>
          <w:rFonts w:cstheme="minorHAnsi"/>
        </w:rPr>
      </w:pPr>
    </w:p>
    <w:p w:rsidRPr="00C4744F" w:rsidR="00511494" w:rsidP="00C4744F" w:rsidRDefault="00511494" w14:paraId="67F11B8E" w14:textId="77777777">
      <w:pPr>
        <w:rPr>
          <w:rFonts w:cstheme="minorHAnsi"/>
        </w:rPr>
      </w:pPr>
      <w:r w:rsidRPr="00C4744F">
        <w:rPr>
          <w:rFonts w:cstheme="minorHAnsi"/>
          <w:i/>
          <w:iCs/>
        </w:rPr>
        <w:t xml:space="preserve">Manchester University NHS Foundation Trust </w:t>
      </w:r>
      <w:r w:rsidRPr="00C4744F">
        <w:rPr>
          <w:rFonts w:cstheme="minorHAnsi"/>
        </w:rPr>
        <w:t>v</w:t>
      </w:r>
      <w:r w:rsidRPr="00C4744F">
        <w:rPr>
          <w:rFonts w:cstheme="minorHAnsi"/>
          <w:i/>
          <w:iCs/>
        </w:rPr>
        <w:t xml:space="preserve"> Fixsler</w:t>
      </w:r>
      <w:r w:rsidRPr="00C4744F">
        <w:rPr>
          <w:rFonts w:cstheme="minorHAnsi"/>
        </w:rPr>
        <w:t xml:space="preserve"> [2021] EWHC 1426</w:t>
      </w:r>
    </w:p>
    <w:p w:rsidRPr="008F0044" w:rsidR="000C3838" w:rsidP="000C3838" w:rsidRDefault="000C3838" w14:paraId="3CA2CE6B" w14:textId="77777777">
      <w:pPr>
        <w:pStyle w:val="ListParagraph"/>
        <w:ind w:left="360"/>
        <w:rPr>
          <w:rFonts w:cstheme="minorHAnsi"/>
        </w:rPr>
      </w:pPr>
    </w:p>
    <w:p w:rsidRPr="00C4744F" w:rsidR="00511494" w:rsidP="00C4744F" w:rsidRDefault="00511494" w14:paraId="27BB03FC" w14:textId="77777777">
      <w:pPr>
        <w:rPr>
          <w:rFonts w:cstheme="minorHAnsi"/>
        </w:rPr>
      </w:pPr>
      <w:r w:rsidRPr="00C4744F">
        <w:rPr>
          <w:rFonts w:cstheme="minorHAnsi"/>
          <w:i/>
          <w:iCs/>
        </w:rPr>
        <w:t>In the Matter of Alta Fixsler</w:t>
      </w:r>
      <w:r w:rsidRPr="00C4744F">
        <w:rPr>
          <w:rFonts w:cstheme="minorHAnsi"/>
        </w:rPr>
        <w:t xml:space="preserve"> [2021] EWCA Civ 1018</w:t>
      </w:r>
    </w:p>
    <w:p w:rsidRPr="00C4744F" w:rsidR="000C3838" w:rsidP="000C3838" w:rsidRDefault="000C3838" w14:paraId="3F861F7F" w14:textId="77777777">
      <w:pPr>
        <w:pStyle w:val="ListParagraph"/>
        <w:ind w:left="360"/>
        <w:rPr>
          <w:rFonts w:cstheme="minorHAnsi"/>
        </w:rPr>
      </w:pPr>
    </w:p>
    <w:p w:rsidRPr="00C4744F" w:rsidR="00511494" w:rsidP="00C4744F" w:rsidRDefault="00511494" w14:paraId="4C949584" w14:textId="77777777">
      <w:pPr>
        <w:rPr>
          <w:rFonts w:cstheme="minorHAnsi"/>
        </w:rPr>
      </w:pPr>
      <w:r w:rsidRPr="00C4744F">
        <w:rPr>
          <w:rFonts w:cstheme="minorHAnsi"/>
          <w:i/>
          <w:iCs/>
        </w:rPr>
        <w:t>Manchester University NHS Foundation Trust</w:t>
      </w:r>
      <w:r w:rsidRPr="00C4744F">
        <w:rPr>
          <w:rFonts w:cstheme="minorHAnsi"/>
        </w:rPr>
        <w:t xml:space="preserve"> v </w:t>
      </w:r>
      <w:r w:rsidRPr="00C4744F">
        <w:rPr>
          <w:rFonts w:cstheme="minorHAnsi"/>
          <w:i/>
          <w:iCs/>
        </w:rPr>
        <w:t xml:space="preserve">Alta Fixsler, Chaya Fixsler &amp; Abraham Fixsler </w:t>
      </w:r>
      <w:r w:rsidRPr="00C4744F">
        <w:rPr>
          <w:rFonts w:cstheme="minorHAnsi"/>
        </w:rPr>
        <w:t>[2021] EWHA 2664 (Fam)</w:t>
      </w:r>
    </w:p>
    <w:p w:rsidRPr="00C4744F" w:rsidR="000C3838" w:rsidP="000C3838" w:rsidRDefault="000C3838" w14:paraId="343980B4" w14:textId="77777777">
      <w:pPr>
        <w:pStyle w:val="ListParagraph"/>
        <w:ind w:left="360"/>
        <w:rPr>
          <w:rFonts w:cstheme="minorHAnsi"/>
        </w:rPr>
      </w:pPr>
    </w:p>
    <w:p w:rsidRPr="00C4744F" w:rsidR="00511494" w:rsidP="00C4744F" w:rsidRDefault="00511494" w14:paraId="7B38C0EA" w14:textId="77777777">
      <w:pPr>
        <w:pStyle w:val="FootnoteText"/>
        <w:rPr>
          <w:rFonts w:cstheme="minorHAnsi"/>
          <w:color w:val="FF0000"/>
          <w:sz w:val="22"/>
          <w:szCs w:val="22"/>
        </w:rPr>
      </w:pPr>
      <w:r w:rsidRPr="00763E94">
        <w:rPr>
          <w:rFonts w:cstheme="minorHAnsi"/>
          <w:i/>
          <w:iCs/>
          <w:sz w:val="22"/>
          <w:szCs w:val="22"/>
        </w:rPr>
        <w:t>Re Z (Medical Treatment: Invasive Ventilation)</w:t>
      </w:r>
      <w:r w:rsidRPr="00763E94">
        <w:rPr>
          <w:rFonts w:cstheme="minorHAnsi"/>
          <w:sz w:val="22"/>
          <w:szCs w:val="22"/>
        </w:rPr>
        <w:t>[2021] EWHC 2613 (fam).</w:t>
      </w:r>
    </w:p>
    <w:p w:rsidRPr="00C4744F" w:rsidR="00511494" w:rsidP="000C3838" w:rsidRDefault="00511494" w14:paraId="4B4DDAA7" w14:textId="77777777">
      <w:pPr>
        <w:pStyle w:val="FootnoteText"/>
        <w:ind w:left="360"/>
        <w:rPr>
          <w:rFonts w:cstheme="minorHAnsi"/>
          <w:sz w:val="22"/>
          <w:szCs w:val="22"/>
        </w:rPr>
      </w:pPr>
    </w:p>
    <w:p w:rsidRPr="00C4744F" w:rsidR="000C3838" w:rsidP="00C4744F" w:rsidRDefault="00511494" w14:paraId="534C9969" w14:textId="77777777">
      <w:pPr>
        <w:rPr>
          <w:rFonts w:cstheme="minorHAnsi"/>
        </w:rPr>
      </w:pPr>
      <w:r w:rsidRPr="00C4744F">
        <w:rPr>
          <w:rFonts w:cstheme="minorHAnsi"/>
          <w:i/>
          <w:iCs/>
        </w:rPr>
        <w:t xml:space="preserve">Nottingham Universities Hospitals NHS Trust </w:t>
      </w:r>
      <w:r w:rsidRPr="00C4744F">
        <w:rPr>
          <w:rFonts w:cstheme="minorHAnsi"/>
        </w:rPr>
        <w:t xml:space="preserve">v </w:t>
      </w:r>
      <w:r w:rsidRPr="00C4744F">
        <w:rPr>
          <w:rFonts w:cstheme="minorHAnsi"/>
          <w:i/>
          <w:iCs/>
        </w:rPr>
        <w:t>M &amp; F &amp; Z</w:t>
      </w:r>
      <w:r w:rsidRPr="00C4744F">
        <w:rPr>
          <w:rFonts w:cstheme="minorHAnsi"/>
        </w:rPr>
        <w:t xml:space="preserve"> [2021] EWHC 2613</w:t>
      </w:r>
    </w:p>
    <w:p w:rsidRPr="00C4744F" w:rsidR="000C3838" w:rsidP="000C3838" w:rsidRDefault="000C3838" w14:paraId="4FF69E42" w14:textId="77777777">
      <w:pPr>
        <w:pStyle w:val="ListParagraph"/>
        <w:ind w:left="360"/>
        <w:rPr>
          <w:rFonts w:cstheme="minorHAnsi"/>
          <w:i/>
          <w:iCs/>
        </w:rPr>
      </w:pPr>
    </w:p>
    <w:p w:rsidRPr="00C4744F" w:rsidR="00511494" w:rsidP="00C4744F" w:rsidRDefault="00511494" w14:paraId="5557AC5E" w14:textId="3CA63972">
      <w:pPr>
        <w:rPr>
          <w:rFonts w:cstheme="minorHAnsi"/>
        </w:rPr>
      </w:pPr>
      <w:r w:rsidRPr="00C4744F">
        <w:rPr>
          <w:rFonts w:cstheme="minorHAnsi"/>
          <w:i/>
          <w:iCs/>
        </w:rPr>
        <w:t xml:space="preserve">Manchester University NHS Foundation Trust </w:t>
      </w:r>
      <w:r w:rsidRPr="00C4744F">
        <w:rPr>
          <w:rFonts w:cstheme="minorHAnsi"/>
        </w:rPr>
        <w:t>v</w:t>
      </w:r>
      <w:r w:rsidRPr="00C4744F">
        <w:rPr>
          <w:rFonts w:cstheme="minorHAnsi"/>
          <w:i/>
          <w:iCs/>
        </w:rPr>
        <w:t xml:space="preserve"> William Verden &amp; Amy McLennan</w:t>
      </w:r>
      <w:r w:rsidRPr="00C4744F">
        <w:rPr>
          <w:rFonts w:cstheme="minorHAnsi"/>
        </w:rPr>
        <w:t xml:space="preserve"> [2022] EWCOP 9</w:t>
      </w:r>
    </w:p>
    <w:p w:rsidRPr="00C4744F" w:rsidR="000C3838" w:rsidP="000C3838" w:rsidRDefault="000C3838" w14:paraId="113D69A9" w14:textId="77777777">
      <w:pPr>
        <w:pStyle w:val="ListParagraph"/>
        <w:ind w:left="360"/>
        <w:rPr>
          <w:rFonts w:cstheme="minorHAnsi"/>
        </w:rPr>
      </w:pPr>
    </w:p>
    <w:p w:rsidRPr="00C4744F" w:rsidR="00511494" w:rsidP="00C4744F" w:rsidRDefault="000C3838" w14:paraId="1F7C6519" w14:textId="1CD4E66C">
      <w:pPr>
        <w:tabs>
          <w:tab w:val="right" w:pos="9026"/>
        </w:tabs>
        <w:rPr>
          <w:rFonts w:cstheme="minorHAnsi"/>
        </w:rPr>
      </w:pPr>
      <w:r w:rsidRPr="00C4744F">
        <w:rPr>
          <w:rFonts w:cstheme="minorHAnsi"/>
          <w:i/>
          <w:iCs/>
        </w:rPr>
        <w:t>B</w:t>
      </w:r>
      <w:r w:rsidRPr="00C4744F" w:rsidR="00511494">
        <w:rPr>
          <w:rFonts w:cstheme="minorHAnsi"/>
          <w:i/>
          <w:iCs/>
        </w:rPr>
        <w:t xml:space="preserve">arts Health NHS Trust </w:t>
      </w:r>
      <w:r w:rsidRPr="00C4744F" w:rsidR="00511494">
        <w:rPr>
          <w:rFonts w:cstheme="minorHAnsi"/>
        </w:rPr>
        <w:t>v</w:t>
      </w:r>
      <w:r w:rsidRPr="00C4744F" w:rsidR="00511494">
        <w:rPr>
          <w:rFonts w:cstheme="minorHAnsi"/>
          <w:i/>
          <w:iCs/>
        </w:rPr>
        <w:t xml:space="preserve"> Dance</w:t>
      </w:r>
      <w:r w:rsidRPr="00C4744F" w:rsidR="00511494">
        <w:rPr>
          <w:rFonts w:cstheme="minorHAnsi"/>
        </w:rPr>
        <w:t xml:space="preserve"> [2022] EWHC 1165 (Fam) </w:t>
      </w:r>
    </w:p>
    <w:p w:rsidRPr="00C4744F" w:rsidR="000C3838" w:rsidP="000C3838" w:rsidRDefault="000C3838" w14:paraId="5323413E" w14:textId="77777777">
      <w:pPr>
        <w:pStyle w:val="ListParagraph"/>
        <w:tabs>
          <w:tab w:val="right" w:pos="9026"/>
        </w:tabs>
        <w:ind w:left="360"/>
        <w:rPr>
          <w:rFonts w:cstheme="minorHAnsi"/>
        </w:rPr>
      </w:pPr>
    </w:p>
    <w:p w:rsidRPr="00C4744F" w:rsidR="00511494" w:rsidP="00C4744F" w:rsidRDefault="00511494" w14:paraId="023F267C" w14:textId="77777777">
      <w:pPr>
        <w:rPr>
          <w:rFonts w:cstheme="minorHAnsi"/>
        </w:rPr>
      </w:pPr>
      <w:r w:rsidRPr="00C4744F">
        <w:rPr>
          <w:rFonts w:cstheme="minorHAnsi"/>
          <w:i/>
          <w:iCs/>
        </w:rPr>
        <w:t xml:space="preserve">Barts Health NHS Trust </w:t>
      </w:r>
      <w:r w:rsidRPr="00C4744F">
        <w:rPr>
          <w:rFonts w:cstheme="minorHAnsi"/>
        </w:rPr>
        <w:t>v</w:t>
      </w:r>
      <w:r w:rsidRPr="00C4744F">
        <w:rPr>
          <w:rFonts w:cstheme="minorHAnsi"/>
          <w:i/>
          <w:iCs/>
        </w:rPr>
        <w:t xml:space="preserve"> Hollie Dance &amp; Paul Battersbee &amp; Archie Battersbee</w:t>
      </w:r>
      <w:r w:rsidRPr="00C4744F">
        <w:rPr>
          <w:rFonts w:cstheme="minorHAnsi"/>
        </w:rPr>
        <w:t xml:space="preserve"> [2022] EWHC 1435 (Fam) </w:t>
      </w:r>
    </w:p>
    <w:p w:rsidRPr="00C4744F" w:rsidR="000C3838" w:rsidP="000C3838" w:rsidRDefault="000C3838" w14:paraId="0BA9B61C" w14:textId="77777777">
      <w:pPr>
        <w:pStyle w:val="ListParagraph"/>
        <w:ind w:left="360"/>
        <w:rPr>
          <w:rFonts w:cstheme="minorHAnsi"/>
        </w:rPr>
      </w:pPr>
    </w:p>
    <w:p w:rsidRPr="00C4744F" w:rsidR="00511494" w:rsidP="00C4744F" w:rsidRDefault="00511494" w14:paraId="4BB41194" w14:textId="77777777">
      <w:pPr>
        <w:rPr>
          <w:rFonts w:cstheme="minorHAnsi"/>
        </w:rPr>
      </w:pPr>
      <w:r w:rsidRPr="00C4744F">
        <w:rPr>
          <w:rFonts w:cstheme="minorHAnsi"/>
          <w:i/>
          <w:iCs/>
        </w:rPr>
        <w:t xml:space="preserve">Barts Health NHS Trust </w:t>
      </w:r>
      <w:r w:rsidRPr="00C4744F">
        <w:rPr>
          <w:rFonts w:cstheme="minorHAnsi"/>
        </w:rPr>
        <w:t>v</w:t>
      </w:r>
      <w:r w:rsidRPr="00C4744F">
        <w:rPr>
          <w:rFonts w:cstheme="minorHAnsi"/>
          <w:i/>
          <w:iCs/>
        </w:rPr>
        <w:t xml:space="preserve"> Hollie Dance &amp; Paul Battersbee &amp; Archie Battersbee</w:t>
      </w:r>
      <w:r w:rsidRPr="00C4744F">
        <w:rPr>
          <w:rFonts w:cstheme="minorHAnsi"/>
        </w:rPr>
        <w:t xml:space="preserve"> [2022] EWCA Civ 935</w:t>
      </w:r>
    </w:p>
    <w:p w:rsidRPr="00C4744F" w:rsidR="000C3838" w:rsidP="000C3838" w:rsidRDefault="000C3838" w14:paraId="329C69AE" w14:textId="77777777">
      <w:pPr>
        <w:pStyle w:val="ListParagraph"/>
        <w:ind w:left="360"/>
        <w:rPr>
          <w:rFonts w:cstheme="minorHAnsi"/>
        </w:rPr>
      </w:pPr>
    </w:p>
    <w:p w:rsidRPr="00C4744F" w:rsidR="00511494" w:rsidP="00C4744F" w:rsidRDefault="00511494" w14:paraId="56132CE3" w14:textId="77777777">
      <w:pPr>
        <w:rPr>
          <w:rFonts w:cstheme="minorHAnsi"/>
        </w:rPr>
      </w:pPr>
      <w:r w:rsidRPr="00C4744F">
        <w:rPr>
          <w:rFonts w:cstheme="minorHAnsi"/>
          <w:i/>
          <w:iCs/>
        </w:rPr>
        <w:t>Barts Health NHS Trust</w:t>
      </w:r>
      <w:r w:rsidRPr="00C4744F">
        <w:rPr>
          <w:rFonts w:cstheme="minorHAnsi"/>
        </w:rPr>
        <w:t xml:space="preserve"> v</w:t>
      </w:r>
      <w:r w:rsidRPr="00C4744F">
        <w:rPr>
          <w:rFonts w:cstheme="minorHAnsi"/>
          <w:i/>
          <w:iCs/>
        </w:rPr>
        <w:t xml:space="preserve"> Hollie Dance &amp; Paul Battersbee &amp; Archie Battersbee</w:t>
      </w:r>
      <w:r w:rsidRPr="00C4744F">
        <w:rPr>
          <w:rFonts w:cstheme="minorHAnsi"/>
        </w:rPr>
        <w:t xml:space="preserve"> [2022] EWFC 80.</w:t>
      </w:r>
    </w:p>
    <w:p w:rsidRPr="00C4744F" w:rsidR="000C3838" w:rsidP="000C3838" w:rsidRDefault="000C3838" w14:paraId="4CA8CEE9" w14:textId="77777777">
      <w:pPr>
        <w:pStyle w:val="ListParagraph"/>
        <w:ind w:left="360"/>
        <w:rPr>
          <w:rFonts w:cstheme="minorHAnsi"/>
        </w:rPr>
      </w:pPr>
    </w:p>
    <w:p w:rsidRPr="00C4744F" w:rsidR="00511494" w:rsidP="00C4744F" w:rsidRDefault="00511494" w14:paraId="38ADF44E" w14:textId="77777777">
      <w:pPr>
        <w:rPr>
          <w:rFonts w:cstheme="minorHAnsi"/>
        </w:rPr>
      </w:pPr>
      <w:r w:rsidRPr="00C4744F">
        <w:rPr>
          <w:rFonts w:cstheme="minorHAnsi"/>
          <w:i/>
          <w:iCs/>
        </w:rPr>
        <w:t xml:space="preserve">Birmingham Women’s and Children’s NHS Foundation Trust </w:t>
      </w:r>
      <w:r w:rsidRPr="00C4744F">
        <w:rPr>
          <w:rFonts w:cstheme="minorHAnsi"/>
        </w:rPr>
        <w:t>v</w:t>
      </w:r>
      <w:r w:rsidRPr="00C4744F">
        <w:rPr>
          <w:rFonts w:cstheme="minorHAnsi"/>
          <w:i/>
          <w:iCs/>
        </w:rPr>
        <w:t xml:space="preserve"> J &amp; M &amp; F</w:t>
      </w:r>
      <w:r w:rsidRPr="00C4744F">
        <w:rPr>
          <w:rFonts w:cstheme="minorHAnsi"/>
        </w:rPr>
        <w:t xml:space="preserve"> [2022] EWHC 2229</w:t>
      </w:r>
    </w:p>
    <w:p w:rsidRPr="00C4744F" w:rsidR="000C3838" w:rsidP="000C3838" w:rsidRDefault="000C3838" w14:paraId="17987D0C" w14:textId="77777777">
      <w:pPr>
        <w:pStyle w:val="ListParagraph"/>
        <w:ind w:left="360"/>
        <w:rPr>
          <w:rFonts w:cstheme="minorHAnsi"/>
        </w:rPr>
      </w:pPr>
    </w:p>
    <w:p w:rsidRPr="00C4744F" w:rsidR="00511494" w:rsidP="00C4744F" w:rsidRDefault="00511494" w14:paraId="04822723" w14:textId="77777777">
      <w:pPr>
        <w:rPr>
          <w:rFonts w:cstheme="minorHAnsi"/>
        </w:rPr>
      </w:pPr>
      <w:r w:rsidRPr="00C4744F">
        <w:rPr>
          <w:rFonts w:cstheme="minorHAnsi"/>
          <w:i/>
          <w:iCs/>
        </w:rPr>
        <w:t>Great Ormond Street Hospital for Children NHS Foundation Trust</w:t>
      </w:r>
      <w:r w:rsidRPr="00C4744F">
        <w:rPr>
          <w:rFonts w:cstheme="minorHAnsi"/>
        </w:rPr>
        <w:t xml:space="preserve"> v</w:t>
      </w:r>
      <w:r w:rsidRPr="00C4744F">
        <w:rPr>
          <w:rFonts w:cstheme="minorHAnsi"/>
          <w:i/>
          <w:iCs/>
        </w:rPr>
        <w:t xml:space="preserve"> A Local Authority &amp; M &amp; J</w:t>
      </w:r>
      <w:r w:rsidRPr="00C4744F">
        <w:rPr>
          <w:rFonts w:cstheme="minorHAnsi"/>
        </w:rPr>
        <w:t xml:space="preserve"> [2022] EWHC 2596</w:t>
      </w:r>
    </w:p>
    <w:p w:rsidRPr="00C4744F" w:rsidR="000C3838" w:rsidP="000C3838" w:rsidRDefault="000C3838" w14:paraId="744E426A" w14:textId="77777777">
      <w:pPr>
        <w:pStyle w:val="ListParagraph"/>
        <w:ind w:left="360"/>
        <w:rPr>
          <w:rFonts w:cstheme="minorHAnsi"/>
        </w:rPr>
      </w:pPr>
    </w:p>
    <w:p w:rsidRPr="00C4744F" w:rsidR="00511494" w:rsidP="008F0044" w:rsidRDefault="00511494" w14:paraId="1024122E" w14:textId="77777777">
      <w:pPr>
        <w:rPr>
          <w:rFonts w:cstheme="minorHAnsi"/>
          <w:u w:val="single"/>
        </w:rPr>
      </w:pPr>
      <w:r w:rsidRPr="00C4744F">
        <w:rPr>
          <w:rFonts w:cstheme="minorHAnsi"/>
          <w:u w:val="single"/>
        </w:rPr>
        <w:t>Books and Book Chapters</w:t>
      </w:r>
    </w:p>
    <w:p w:rsidRPr="00C4744F" w:rsidR="00511494" w:rsidP="008F0044" w:rsidRDefault="00511494" w14:paraId="52DA257C" w14:textId="77777777">
      <w:pPr>
        <w:rPr>
          <w:rFonts w:cstheme="minorHAnsi"/>
        </w:rPr>
      </w:pPr>
      <w:r w:rsidRPr="00C4744F">
        <w:rPr>
          <w:rFonts w:cstheme="minorHAnsi"/>
        </w:rPr>
        <w:t xml:space="preserve">Auckland C, ‘Futility’ in Goold I, Herring J and Auckland C (eds) </w:t>
      </w:r>
      <w:r w:rsidRPr="00C4744F">
        <w:rPr>
          <w:rFonts w:cstheme="minorHAnsi"/>
          <w:i/>
          <w:iCs/>
        </w:rPr>
        <w:t xml:space="preserve">Parental Rights, Best Interests and Significant Harms </w:t>
      </w:r>
      <w:r w:rsidRPr="00C4744F">
        <w:rPr>
          <w:rFonts w:cstheme="minorHAnsi"/>
        </w:rPr>
        <w:t>(Hart 2019) 177.</w:t>
      </w:r>
    </w:p>
    <w:p w:rsidRPr="00C4744F" w:rsidR="008F0044" w:rsidP="008F0044" w:rsidRDefault="008F0044" w14:paraId="141CD474" w14:textId="77777777">
      <w:pPr>
        <w:rPr>
          <w:rFonts w:cstheme="minorHAnsi"/>
        </w:rPr>
      </w:pPr>
    </w:p>
    <w:p w:rsidRPr="00C4744F" w:rsidR="00511494" w:rsidP="008F0044" w:rsidRDefault="00511494" w14:paraId="15DCD76C" w14:textId="77777777">
      <w:pPr>
        <w:rPr>
          <w:rFonts w:cstheme="minorHAnsi"/>
        </w:rPr>
      </w:pPr>
      <w:r w:rsidRPr="00C4744F">
        <w:rPr>
          <w:rFonts w:cstheme="minorHAnsi"/>
        </w:rPr>
        <w:t>Austin L and Huxtable R, ‘Resolving Disagreements about the Care of Critically Ill Children: Evaluating Existing Processes and Setting the Research Agenda’ in Imogen Goold, Jonathan Herring and Cressida Auckland (eds),</w:t>
      </w:r>
      <w:r w:rsidRPr="00C4744F">
        <w:rPr>
          <w:rFonts w:cstheme="minorHAnsi"/>
          <w:i/>
          <w:iCs/>
        </w:rPr>
        <w:t xml:space="preserve"> Parental Rights, Best Interests and Signiﬁcant Harms </w:t>
      </w:r>
      <w:r w:rsidRPr="00C4744F">
        <w:rPr>
          <w:rFonts w:cstheme="minorHAnsi"/>
        </w:rPr>
        <w:t>(Hart 2019) 207.</w:t>
      </w:r>
    </w:p>
    <w:p w:rsidRPr="00C4744F" w:rsidR="008F0044" w:rsidP="008F0044" w:rsidRDefault="008F0044" w14:paraId="2F1C689E" w14:textId="77777777">
      <w:pPr>
        <w:rPr>
          <w:rFonts w:cstheme="minorHAnsi"/>
        </w:rPr>
      </w:pPr>
    </w:p>
    <w:p w:rsidRPr="00C4744F" w:rsidR="00511494" w:rsidP="008F0044" w:rsidRDefault="00511494" w14:paraId="544107C0" w14:textId="77777777">
      <w:pPr>
        <w:rPr>
          <w:rFonts w:cstheme="minorHAnsi"/>
        </w:rPr>
      </w:pPr>
      <w:r w:rsidRPr="00C4744F">
        <w:rPr>
          <w:rFonts w:cstheme="minorHAnsi"/>
        </w:rPr>
        <w:t xml:space="preserve">Birchley G, ‘The Harm Threshold: A View from the Clinic’ in Goold I, Herring J and Auckland C (eds) </w:t>
      </w:r>
      <w:r w:rsidRPr="00C4744F">
        <w:rPr>
          <w:rFonts w:cstheme="minorHAnsi"/>
          <w:i/>
          <w:iCs/>
        </w:rPr>
        <w:t xml:space="preserve">Parental Rights, Best Interests and Significant Harms </w:t>
      </w:r>
      <w:r w:rsidRPr="00C4744F">
        <w:rPr>
          <w:rFonts w:cstheme="minorHAnsi"/>
        </w:rPr>
        <w:t>(Hart 2019) 107.</w:t>
      </w:r>
    </w:p>
    <w:p w:rsidRPr="00C4744F" w:rsidR="008F0044" w:rsidP="008F0044" w:rsidRDefault="008F0044" w14:paraId="70DF6FD0" w14:textId="77777777">
      <w:pPr>
        <w:rPr>
          <w:rFonts w:cstheme="minorHAnsi"/>
        </w:rPr>
      </w:pPr>
    </w:p>
    <w:p w:rsidRPr="00C4744F" w:rsidR="00511494" w:rsidP="008F0044" w:rsidRDefault="00511494" w14:paraId="5DD32F75" w14:textId="77777777">
      <w:pPr>
        <w:rPr>
          <w:rFonts w:cstheme="minorHAnsi"/>
        </w:rPr>
      </w:pPr>
      <w:r w:rsidRPr="00C4744F">
        <w:rPr>
          <w:rFonts w:cstheme="minorHAnsi"/>
        </w:rPr>
        <w:t xml:space="preserve">Bridgeman J, ‘Beyond Best Interests: A Question of Professional Conscience’ in Goold I, Herring J and Auckland C (eds) </w:t>
      </w:r>
      <w:r w:rsidRPr="00C4744F">
        <w:rPr>
          <w:rFonts w:cstheme="minorHAnsi"/>
          <w:i/>
          <w:iCs/>
        </w:rPr>
        <w:t xml:space="preserve">Parental Rights, Best Interests and Significant Harms </w:t>
      </w:r>
      <w:r w:rsidRPr="00C4744F">
        <w:rPr>
          <w:rFonts w:cstheme="minorHAnsi"/>
        </w:rPr>
        <w:t xml:space="preserve">(Hart 2019) 137. </w:t>
      </w:r>
    </w:p>
    <w:p w:rsidRPr="00C4744F" w:rsidR="008F0044" w:rsidP="008F0044" w:rsidRDefault="008F0044" w14:paraId="6CC284EA" w14:textId="77777777">
      <w:pPr>
        <w:rPr>
          <w:rFonts w:cstheme="minorHAnsi"/>
        </w:rPr>
      </w:pPr>
    </w:p>
    <w:p w:rsidRPr="00C4744F" w:rsidR="00511494" w:rsidP="008F0044" w:rsidRDefault="00511494" w14:paraId="09D08C20" w14:textId="77777777">
      <w:pPr>
        <w:rPr>
          <w:rFonts w:cstheme="minorHAnsi"/>
        </w:rPr>
      </w:pPr>
      <w:r w:rsidRPr="00C4744F">
        <w:rPr>
          <w:rFonts w:cstheme="minorHAnsi"/>
        </w:rPr>
        <w:t xml:space="preserve">Bridgeman J, </w:t>
      </w:r>
      <w:r w:rsidRPr="00C4744F">
        <w:rPr>
          <w:rFonts w:cstheme="minorHAnsi"/>
          <w:i/>
          <w:iCs/>
        </w:rPr>
        <w:t xml:space="preserve">Medical Treatment of Children and the Law: Beyond Parental Responsibilities </w:t>
      </w:r>
      <w:r w:rsidRPr="00C4744F">
        <w:rPr>
          <w:rFonts w:cstheme="minorHAnsi"/>
        </w:rPr>
        <w:t>(Routledge 2020).</w:t>
      </w:r>
    </w:p>
    <w:p w:rsidRPr="00C4744F" w:rsidR="008F0044" w:rsidP="008F0044" w:rsidRDefault="008F0044" w14:paraId="18EE6993" w14:textId="77777777">
      <w:pPr>
        <w:rPr>
          <w:rFonts w:cstheme="minorHAnsi"/>
        </w:rPr>
      </w:pPr>
    </w:p>
    <w:p w:rsidRPr="00C4744F" w:rsidR="00511494" w:rsidP="008F0044" w:rsidRDefault="00511494" w14:paraId="209C5B54" w14:textId="77777777">
      <w:pPr>
        <w:rPr>
          <w:rFonts w:cstheme="minorHAnsi"/>
        </w:rPr>
      </w:pPr>
      <w:r w:rsidRPr="00C4744F">
        <w:rPr>
          <w:rFonts w:cstheme="minorHAnsi"/>
        </w:rPr>
        <w:t xml:space="preserve">Butler-Cole V, ‘Foreword’ in Goold I, Herring J and Auckland C (eds) </w:t>
      </w:r>
      <w:r w:rsidRPr="00C4744F">
        <w:rPr>
          <w:rFonts w:cstheme="minorHAnsi"/>
          <w:i/>
          <w:iCs/>
        </w:rPr>
        <w:t xml:space="preserve">Parental Rights, Best Interests and Significant Harms </w:t>
      </w:r>
      <w:r w:rsidRPr="00C4744F">
        <w:rPr>
          <w:rFonts w:cstheme="minorHAnsi"/>
        </w:rPr>
        <w:t>(Hart 2019) v.</w:t>
      </w:r>
    </w:p>
    <w:p w:rsidRPr="00C4744F" w:rsidR="008F0044" w:rsidP="008F0044" w:rsidRDefault="008F0044" w14:paraId="0BAA9196" w14:textId="77777777">
      <w:pPr>
        <w:rPr>
          <w:rFonts w:cstheme="minorHAnsi"/>
        </w:rPr>
      </w:pPr>
    </w:p>
    <w:p w:rsidRPr="00C4744F" w:rsidR="00511494" w:rsidP="008F0044" w:rsidRDefault="00511494" w14:paraId="296865BB" w14:textId="77777777">
      <w:pPr>
        <w:rPr>
          <w:rFonts w:cstheme="minorHAnsi"/>
        </w:rPr>
      </w:pPr>
      <w:r w:rsidRPr="00C4744F">
        <w:rPr>
          <w:rFonts w:cstheme="minorHAnsi"/>
        </w:rPr>
        <w:t xml:space="preserve">Fovargue S, ‘Preserving the Therapeutic Alliance: Court Intervention and Experimental Treatment Requests’ in Goold I, Herring J and Auckland C (eds) </w:t>
      </w:r>
      <w:r w:rsidRPr="00C4744F">
        <w:rPr>
          <w:rFonts w:cstheme="minorHAnsi"/>
          <w:i/>
          <w:iCs/>
        </w:rPr>
        <w:t xml:space="preserve">Parental Rights, Best Interests and Significant Harms </w:t>
      </w:r>
      <w:r w:rsidRPr="00C4744F">
        <w:rPr>
          <w:rFonts w:cstheme="minorHAnsi"/>
        </w:rPr>
        <w:t>(Hart 2019) 153.</w:t>
      </w:r>
    </w:p>
    <w:p w:rsidRPr="00C4744F" w:rsidR="008F0044" w:rsidP="008F0044" w:rsidRDefault="008F0044" w14:paraId="7643DAE2" w14:textId="77777777">
      <w:pPr>
        <w:rPr>
          <w:rFonts w:cstheme="minorHAnsi"/>
        </w:rPr>
      </w:pPr>
    </w:p>
    <w:p w:rsidRPr="00C4744F" w:rsidR="00511494" w:rsidP="008F0044" w:rsidRDefault="00511494" w14:paraId="251383F6" w14:textId="77777777">
      <w:pPr>
        <w:rPr>
          <w:rFonts w:cstheme="minorHAnsi"/>
        </w:rPr>
      </w:pPr>
      <w:r w:rsidRPr="00C4744F">
        <w:rPr>
          <w:rFonts w:cstheme="minorHAnsi"/>
        </w:rPr>
        <w:t xml:space="preserve">George R, ‘The Legal Basis of the Court’s Jurisdiction to Authorise Medical Treatment of Children’ in Goold I, Herring J and Auckland C (eds) </w:t>
      </w:r>
      <w:r w:rsidRPr="00C4744F">
        <w:rPr>
          <w:rFonts w:cstheme="minorHAnsi"/>
          <w:i/>
          <w:iCs/>
        </w:rPr>
        <w:t xml:space="preserve">Parental Rights, Best Interests and Significant Harms </w:t>
      </w:r>
      <w:r w:rsidRPr="00C4744F">
        <w:rPr>
          <w:rFonts w:cstheme="minorHAnsi"/>
        </w:rPr>
        <w:t>(Hart 2019) 67.</w:t>
      </w:r>
    </w:p>
    <w:p w:rsidRPr="00C4744F" w:rsidR="008F0044" w:rsidP="008F0044" w:rsidRDefault="008F0044" w14:paraId="054C0020" w14:textId="77777777">
      <w:pPr>
        <w:rPr>
          <w:rFonts w:cstheme="minorHAnsi"/>
        </w:rPr>
      </w:pPr>
    </w:p>
    <w:p w:rsidRPr="00C4744F" w:rsidR="00511494" w:rsidP="008F0044" w:rsidRDefault="00511494" w14:paraId="78BA43B7" w14:textId="77777777">
      <w:pPr>
        <w:rPr>
          <w:rFonts w:cstheme="minorHAnsi"/>
        </w:rPr>
      </w:pPr>
      <w:r w:rsidRPr="00C4744F">
        <w:rPr>
          <w:rFonts w:cstheme="minorHAnsi"/>
        </w:rPr>
        <w:t xml:space="preserve">Harwin J, Ryan M and Kershaw S, ‘A problem-solving approach to family justice’ in </w:t>
      </w:r>
      <w:r w:rsidRPr="00C4744F">
        <w:rPr>
          <w:rFonts w:cstheme="minorHAnsi"/>
          <w:i/>
          <w:iCs/>
        </w:rPr>
        <w:t xml:space="preserve">Justice for Children and Families: A Developmental Perspective </w:t>
      </w:r>
      <w:r w:rsidRPr="00C4744F">
        <w:rPr>
          <w:rFonts w:cstheme="minorHAnsi"/>
        </w:rPr>
        <w:t>(Royal College of Psychiatrists, Cambridge 2018) 68.</w:t>
      </w:r>
    </w:p>
    <w:p w:rsidRPr="00C4744F" w:rsidR="008F0044" w:rsidP="008F0044" w:rsidRDefault="008F0044" w14:paraId="50505ED4" w14:textId="77777777">
      <w:pPr>
        <w:rPr>
          <w:rFonts w:cstheme="minorHAnsi"/>
        </w:rPr>
      </w:pPr>
    </w:p>
    <w:p w:rsidRPr="00C4744F" w:rsidR="00511494" w:rsidP="008F0044" w:rsidRDefault="00511494" w14:paraId="1CC4AB09" w14:textId="77777777">
      <w:pPr>
        <w:rPr>
          <w:rFonts w:cstheme="minorHAnsi"/>
        </w:rPr>
      </w:pPr>
      <w:r w:rsidRPr="00C4744F">
        <w:rPr>
          <w:rFonts w:cstheme="minorHAnsi"/>
        </w:rPr>
        <w:t xml:space="preserve">Herring J, Probert R and Gilmore S, </w:t>
      </w:r>
      <w:r w:rsidRPr="00C4744F">
        <w:rPr>
          <w:rFonts w:cstheme="minorHAnsi"/>
          <w:i/>
          <w:iCs/>
        </w:rPr>
        <w:t>Great Debates in Family</w:t>
      </w:r>
      <w:r w:rsidRPr="00C4744F">
        <w:rPr>
          <w:rFonts w:cstheme="minorHAnsi"/>
        </w:rPr>
        <w:t xml:space="preserve"> </w:t>
      </w:r>
      <w:r w:rsidRPr="00C4744F">
        <w:rPr>
          <w:rFonts w:cstheme="minorHAnsi"/>
          <w:i/>
          <w:iCs/>
        </w:rPr>
        <w:t>Law</w:t>
      </w:r>
      <w:r w:rsidRPr="00C4744F">
        <w:rPr>
          <w:rFonts w:cstheme="minorHAnsi"/>
        </w:rPr>
        <w:t xml:space="preserve"> (2</w:t>
      </w:r>
      <w:r w:rsidRPr="00C4744F">
        <w:rPr>
          <w:rFonts w:cstheme="minorHAnsi"/>
          <w:vertAlign w:val="superscript"/>
        </w:rPr>
        <w:t>nd</w:t>
      </w:r>
      <w:r w:rsidRPr="00C4744F">
        <w:rPr>
          <w:rFonts w:cstheme="minorHAnsi"/>
        </w:rPr>
        <w:t xml:space="preserve"> ed Macmillan 2015).</w:t>
      </w:r>
    </w:p>
    <w:p w:rsidRPr="00C4744F" w:rsidR="008F0044" w:rsidP="008F0044" w:rsidRDefault="008F0044" w14:paraId="223121E5" w14:textId="77777777">
      <w:pPr>
        <w:rPr>
          <w:rFonts w:cstheme="minorHAnsi"/>
        </w:rPr>
      </w:pPr>
    </w:p>
    <w:p w:rsidRPr="00C4744F" w:rsidR="00511494" w:rsidP="008F0044" w:rsidRDefault="00511494" w14:paraId="3FE22CF2" w14:textId="77777777">
      <w:pPr>
        <w:rPr>
          <w:rFonts w:cstheme="minorHAnsi"/>
        </w:rPr>
      </w:pPr>
      <w:r w:rsidRPr="00C4744F">
        <w:rPr>
          <w:rFonts w:cstheme="minorHAnsi"/>
        </w:rPr>
        <w:t xml:space="preserve">Herring J, ‘Vulnerability and Medical Decisions concerning Children’ in Goold I, Herring J and Auckland C (eds) </w:t>
      </w:r>
      <w:r w:rsidRPr="00C4744F">
        <w:rPr>
          <w:rFonts w:cstheme="minorHAnsi"/>
          <w:i/>
          <w:iCs/>
        </w:rPr>
        <w:t xml:space="preserve">Parental Rights, Best Interests and Significant Harms </w:t>
      </w:r>
      <w:r w:rsidRPr="00C4744F">
        <w:rPr>
          <w:rFonts w:cstheme="minorHAnsi"/>
        </w:rPr>
        <w:t>(Hart 2019) 191</w:t>
      </w:r>
    </w:p>
    <w:p w:rsidRPr="00C4744F" w:rsidR="008F0044" w:rsidP="008F0044" w:rsidRDefault="008F0044" w14:paraId="3446DD56" w14:textId="77777777">
      <w:pPr>
        <w:rPr>
          <w:rFonts w:cstheme="minorHAnsi"/>
        </w:rPr>
      </w:pPr>
    </w:p>
    <w:p w:rsidRPr="00C4744F" w:rsidR="00511494" w:rsidP="008F0044" w:rsidRDefault="00511494" w14:paraId="62E30DFD" w14:textId="14437A48">
      <w:pPr>
        <w:rPr>
          <w:rFonts w:cstheme="minorHAnsi"/>
        </w:rPr>
      </w:pPr>
      <w:r w:rsidRPr="00C4744F">
        <w:rPr>
          <w:rFonts w:cstheme="minorHAnsi"/>
        </w:rPr>
        <w:t>KL and Fox M, ‘Twisted Reasoning: Disentangling Matters of Law, Conjoined Embodiment, Life and Death – Legal Commentary on</w:t>
      </w:r>
      <w:r w:rsidRPr="00C4744F">
        <w:rPr>
          <w:rFonts w:cstheme="minorHAnsi"/>
          <w:i/>
          <w:iCs/>
        </w:rPr>
        <w:t xml:space="preserve"> Re A’</w:t>
      </w:r>
      <w:r w:rsidRPr="00C4744F">
        <w:rPr>
          <w:rFonts w:cstheme="minorHAnsi"/>
        </w:rPr>
        <w:t xml:space="preserve"> in Smith SW et al (eds) </w:t>
      </w:r>
      <w:r w:rsidRPr="00C4744F">
        <w:rPr>
          <w:rFonts w:cstheme="minorHAnsi"/>
          <w:i/>
          <w:iCs/>
        </w:rPr>
        <w:t>Ethical Judgments: re-Writing Medical Law</w:t>
      </w:r>
      <w:r w:rsidRPr="00C4744F">
        <w:rPr>
          <w:rFonts w:cstheme="minorHAnsi"/>
        </w:rPr>
        <w:t xml:space="preserve"> (2017 Hart) 24.</w:t>
      </w:r>
    </w:p>
    <w:p w:rsidRPr="00C4744F" w:rsidR="008F0044" w:rsidP="008F0044" w:rsidRDefault="008F0044" w14:paraId="02502751" w14:textId="77777777">
      <w:pPr>
        <w:rPr>
          <w:rFonts w:cstheme="minorHAnsi"/>
        </w:rPr>
      </w:pPr>
    </w:p>
    <w:p w:rsidRPr="00C4744F" w:rsidR="00511494" w:rsidP="008F0044" w:rsidRDefault="00511494" w14:paraId="3B9C8717" w14:textId="77777777">
      <w:pPr>
        <w:rPr>
          <w:rFonts w:cstheme="minorHAnsi"/>
        </w:rPr>
      </w:pPr>
      <w:r w:rsidRPr="00C4744F">
        <w:rPr>
          <w:rFonts w:cstheme="minorHAnsi"/>
        </w:rPr>
        <w:t xml:space="preserve">Taylor R, ‘Parental Decisions and Court Jurisdiction: Best Interests or Significant Harm’ in Goold I, Herring J and Auckland C (eds) </w:t>
      </w:r>
      <w:r w:rsidRPr="00C4744F">
        <w:rPr>
          <w:rFonts w:cstheme="minorHAnsi"/>
          <w:i/>
          <w:iCs/>
        </w:rPr>
        <w:t>Parental Rights, Best Interests and Significant Harms</w:t>
      </w:r>
      <w:r w:rsidRPr="00C4744F">
        <w:rPr>
          <w:rFonts w:cstheme="minorHAnsi"/>
        </w:rPr>
        <w:t xml:space="preserve"> (Hart 2019) 49.</w:t>
      </w:r>
    </w:p>
    <w:p w:rsidRPr="00C4744F" w:rsidR="008F0044" w:rsidP="008F0044" w:rsidRDefault="008F0044" w14:paraId="3B145CB0" w14:textId="77777777">
      <w:pPr>
        <w:rPr>
          <w:rFonts w:cstheme="minorHAnsi"/>
        </w:rPr>
      </w:pPr>
    </w:p>
    <w:p w:rsidRPr="00C4744F" w:rsidR="00511494" w:rsidP="008F0044" w:rsidRDefault="00511494" w14:paraId="7EF75192" w14:textId="77777777">
      <w:pPr>
        <w:rPr>
          <w:rFonts w:cstheme="minorHAnsi"/>
        </w:rPr>
      </w:pPr>
      <w:r w:rsidRPr="00C4744F">
        <w:rPr>
          <w:rFonts w:cstheme="minorHAnsi"/>
        </w:rPr>
        <w:t xml:space="preserve">Wilkinson D, ‘In Defence of a Conditional Harm Threshold Test for Paediatric Decision-Making’ in Goold I, Herring J and Auckland C (eds) </w:t>
      </w:r>
      <w:r w:rsidRPr="00C4744F">
        <w:rPr>
          <w:rFonts w:cstheme="minorHAnsi"/>
          <w:i/>
          <w:iCs/>
        </w:rPr>
        <w:t xml:space="preserve">Parental Rights, Best Interests and Significant Harms </w:t>
      </w:r>
      <w:r w:rsidRPr="00C4744F">
        <w:rPr>
          <w:rFonts w:cstheme="minorHAnsi"/>
        </w:rPr>
        <w:t>(Hart 2019) 85.</w:t>
      </w:r>
    </w:p>
    <w:p w:rsidRPr="00C4744F" w:rsidR="008F0044" w:rsidP="008F0044" w:rsidRDefault="008F0044" w14:paraId="5630BE59" w14:textId="77777777">
      <w:pPr>
        <w:rPr>
          <w:rFonts w:cstheme="minorHAnsi"/>
        </w:rPr>
      </w:pPr>
    </w:p>
    <w:p w:rsidRPr="00C4744F" w:rsidR="00511494" w:rsidP="00C4744F" w:rsidRDefault="00511494" w14:paraId="71015488" w14:textId="77777777">
      <w:pPr>
        <w:rPr>
          <w:rFonts w:cstheme="minorHAnsi"/>
        </w:rPr>
      </w:pPr>
      <w:r w:rsidRPr="00C4744F">
        <w:rPr>
          <w:rFonts w:cstheme="minorHAnsi"/>
        </w:rPr>
        <w:t xml:space="preserve">Wilkinson D and Savulescu J, </w:t>
      </w:r>
      <w:r w:rsidRPr="00C4744F">
        <w:rPr>
          <w:rFonts w:cstheme="minorHAnsi"/>
          <w:i/>
          <w:iCs/>
        </w:rPr>
        <w:t>Ethics,</w:t>
      </w:r>
      <w:r w:rsidRPr="00C4744F">
        <w:rPr>
          <w:rFonts w:cstheme="minorHAnsi"/>
        </w:rPr>
        <w:t xml:space="preserve"> </w:t>
      </w:r>
      <w:r w:rsidRPr="00C4744F">
        <w:rPr>
          <w:rFonts w:cstheme="minorHAnsi"/>
          <w:i/>
          <w:iCs/>
        </w:rPr>
        <w:t>Conflict and Medical Treatment for Children</w:t>
      </w:r>
      <w:r w:rsidRPr="00C4744F">
        <w:rPr>
          <w:rFonts w:cstheme="minorHAnsi"/>
        </w:rPr>
        <w:t xml:space="preserve"> (Elsevier 2019).</w:t>
      </w:r>
    </w:p>
    <w:p w:rsidRPr="00C4744F" w:rsidR="00C4744F" w:rsidP="00C4744F" w:rsidRDefault="00C4744F" w14:paraId="7448FEC9" w14:textId="77777777">
      <w:pPr>
        <w:rPr>
          <w:rFonts w:cstheme="minorHAnsi"/>
        </w:rPr>
      </w:pPr>
    </w:p>
    <w:p w:rsidRPr="00C4744F" w:rsidR="00511494" w:rsidP="00C4744F" w:rsidRDefault="00511494" w14:paraId="5B14E768" w14:textId="77777777">
      <w:pPr>
        <w:rPr>
          <w:rFonts w:cstheme="minorHAnsi"/>
          <w:u w:val="single"/>
        </w:rPr>
      </w:pPr>
      <w:r w:rsidRPr="00C4744F">
        <w:rPr>
          <w:rFonts w:cstheme="minorHAnsi"/>
          <w:u w:val="single"/>
        </w:rPr>
        <w:t>Journal Articles</w:t>
      </w:r>
    </w:p>
    <w:p w:rsidRPr="00C4744F" w:rsidR="00511494" w:rsidP="00C4744F" w:rsidRDefault="00511494" w14:paraId="4BFE6050" w14:textId="77777777">
      <w:pPr>
        <w:rPr>
          <w:rFonts w:cstheme="minorHAnsi"/>
        </w:rPr>
      </w:pPr>
      <w:r w:rsidRPr="00C4744F">
        <w:rPr>
          <w:rFonts w:cstheme="minorHAnsi"/>
        </w:rPr>
        <w:t>Abela K et al, ‘Impact of Pediatric Critical Illness and Injury on Families: An Updated Systematic Review’ (2020) 51 Journal of Pediatric Nursing 21.</w:t>
      </w:r>
    </w:p>
    <w:p w:rsidRPr="00C4744F" w:rsidR="00C4744F" w:rsidP="00C4744F" w:rsidRDefault="00C4744F" w14:paraId="257B39C1" w14:textId="77777777">
      <w:pPr>
        <w:rPr>
          <w:rFonts w:cstheme="minorHAnsi"/>
        </w:rPr>
      </w:pPr>
    </w:p>
    <w:p w:rsidRPr="00C4744F" w:rsidR="00511494" w:rsidP="00C4744F" w:rsidRDefault="00511494" w14:paraId="78C1CD9A" w14:textId="2C7E7E0C">
      <w:pPr>
        <w:rPr>
          <w:rFonts w:cstheme="minorHAnsi"/>
        </w:rPr>
      </w:pPr>
      <w:r w:rsidRPr="00C4744F">
        <w:rPr>
          <w:rFonts w:cstheme="minorHAnsi"/>
        </w:rPr>
        <w:t>Allen KY et al, ‘The hard talk: Managing conflict in the cardiac intensive care unit’ (2020) 59 Prog Pediatr Cardiol 101306.</w:t>
      </w:r>
    </w:p>
    <w:p w:rsidRPr="00C4744F" w:rsidR="00C4744F" w:rsidP="00C4744F" w:rsidRDefault="00C4744F" w14:paraId="6E36EB28" w14:textId="77777777">
      <w:pPr>
        <w:rPr>
          <w:rFonts w:cstheme="minorHAnsi"/>
        </w:rPr>
      </w:pPr>
    </w:p>
    <w:p w:rsidRPr="00C4744F" w:rsidR="00511494" w:rsidP="00C4744F" w:rsidRDefault="00511494" w14:paraId="3DF98668" w14:textId="77777777">
      <w:pPr>
        <w:rPr>
          <w:rFonts w:cstheme="minorHAnsi"/>
        </w:rPr>
      </w:pPr>
      <w:r w:rsidRPr="00C4744F">
        <w:rPr>
          <w:rFonts w:cstheme="minorHAnsi"/>
        </w:rPr>
        <w:t>Archambault-Grenier MA et al, ‘Survey highlights the need for specific interventions to reduce frequent conflicts between healthcare professionals providing paediatric end-of-life care’ (2017) 107 Acta Paediatrica 262.</w:t>
      </w:r>
    </w:p>
    <w:p w:rsidRPr="00C4744F" w:rsidR="00C4744F" w:rsidP="00C4744F" w:rsidRDefault="00C4744F" w14:paraId="12080369" w14:textId="77777777">
      <w:pPr>
        <w:rPr>
          <w:rFonts w:cstheme="minorHAnsi"/>
        </w:rPr>
      </w:pPr>
    </w:p>
    <w:p w:rsidRPr="00C4744F" w:rsidR="00511494" w:rsidP="00C4744F" w:rsidRDefault="00511494" w14:paraId="28A60831" w14:textId="77777777">
      <w:pPr>
        <w:rPr>
          <w:rFonts w:cstheme="minorHAnsi"/>
        </w:rPr>
      </w:pPr>
      <w:r w:rsidRPr="00C4744F">
        <w:rPr>
          <w:rFonts w:cstheme="minorHAnsi"/>
        </w:rPr>
        <w:t>Archard D, ‘”My Child, my choice”: Parents, doctors and the ethical standards for resolving their disagreement’ (2019) 70(1) NILQ 93.</w:t>
      </w:r>
    </w:p>
    <w:p w:rsidRPr="00C4744F" w:rsidR="00C4744F" w:rsidP="00C4744F" w:rsidRDefault="00C4744F" w14:paraId="1779C5C8" w14:textId="77777777">
      <w:pPr>
        <w:rPr>
          <w:rFonts w:cstheme="minorHAnsi"/>
        </w:rPr>
      </w:pPr>
    </w:p>
    <w:p w:rsidRPr="00C4744F" w:rsidR="00511494" w:rsidP="00C4744F" w:rsidRDefault="00511494" w14:paraId="0495136D" w14:textId="77777777">
      <w:pPr>
        <w:rPr>
          <w:rFonts w:cstheme="minorHAnsi"/>
        </w:rPr>
      </w:pPr>
      <w:r w:rsidRPr="00C4744F">
        <w:rPr>
          <w:rFonts w:cstheme="minorHAnsi"/>
        </w:rPr>
        <w:t>Auckland C and Goold I, ‘Parental Rights, Best Interests and Significant Harms: Who should have the final say over a child’s medical care?’ (2019) 78(2) Cambridge Law Journal 287.</w:t>
      </w:r>
    </w:p>
    <w:p w:rsidRPr="00C4744F" w:rsidR="00C4744F" w:rsidP="00C4744F" w:rsidRDefault="00C4744F" w14:paraId="2CA59F55" w14:textId="77777777">
      <w:pPr>
        <w:rPr>
          <w:rFonts w:cstheme="minorHAnsi"/>
        </w:rPr>
      </w:pPr>
    </w:p>
    <w:p w:rsidRPr="00C4744F" w:rsidR="00511494" w:rsidP="00C4744F" w:rsidRDefault="00511494" w14:paraId="6616E4FB" w14:textId="77777777">
      <w:pPr>
        <w:rPr>
          <w:rFonts w:cstheme="minorHAnsi"/>
        </w:rPr>
      </w:pPr>
      <w:r w:rsidRPr="00C4744F">
        <w:rPr>
          <w:rFonts w:cstheme="minorHAnsi"/>
        </w:rPr>
        <w:t xml:space="preserve">Auckland C and Goold I, ‘Re-evaluating “Best Interests” in the wake of </w:t>
      </w:r>
      <w:r w:rsidRPr="00C4744F">
        <w:rPr>
          <w:rFonts w:cstheme="minorHAnsi"/>
          <w:i/>
          <w:iCs/>
        </w:rPr>
        <w:t>Raqeeb</w:t>
      </w:r>
      <w:r w:rsidRPr="00C4744F">
        <w:rPr>
          <w:rFonts w:cstheme="minorHAnsi"/>
        </w:rPr>
        <w:t xml:space="preserve"> v</w:t>
      </w:r>
      <w:r w:rsidRPr="00C4744F">
        <w:rPr>
          <w:rFonts w:cstheme="minorHAnsi"/>
          <w:i/>
          <w:iCs/>
        </w:rPr>
        <w:t xml:space="preserve"> Barts NHS Foundation Trust and Anor’</w:t>
      </w:r>
      <w:r w:rsidRPr="00C4744F">
        <w:rPr>
          <w:rFonts w:cstheme="minorHAnsi"/>
        </w:rPr>
        <w:t xml:space="preserve"> (2020) 83(6) Modern Law Review 1328.</w:t>
      </w:r>
    </w:p>
    <w:p w:rsidRPr="00C4744F" w:rsidR="00C4744F" w:rsidP="00C4744F" w:rsidRDefault="00C4744F" w14:paraId="66A7E64C" w14:textId="77777777">
      <w:pPr>
        <w:rPr>
          <w:rFonts w:cstheme="minorHAnsi"/>
        </w:rPr>
      </w:pPr>
    </w:p>
    <w:p w:rsidRPr="00C4744F" w:rsidR="00511494" w:rsidP="00C4744F" w:rsidRDefault="00511494" w14:paraId="175B6DB8" w14:textId="77777777">
      <w:pPr>
        <w:rPr>
          <w:rFonts w:cstheme="minorHAnsi"/>
        </w:rPr>
      </w:pPr>
      <w:r w:rsidRPr="00C4744F">
        <w:rPr>
          <w:rFonts w:cstheme="minorHAnsi"/>
        </w:rPr>
        <w:t xml:space="preserve">Auckland C and Goold I, ‘Resolving Disagreement: A Multi-Jurisdictional Comparative Analysis of Disputes about Children’s Medical Care’ (2020) 28(4) Medical Law Review 643. </w:t>
      </w:r>
    </w:p>
    <w:p w:rsidRPr="00C4744F" w:rsidR="00C4744F" w:rsidP="00C4744F" w:rsidRDefault="00C4744F" w14:paraId="50CC02A6" w14:textId="77777777">
      <w:pPr>
        <w:rPr>
          <w:rFonts w:cstheme="minorHAnsi"/>
        </w:rPr>
      </w:pPr>
    </w:p>
    <w:p w:rsidRPr="00C4744F" w:rsidR="00511494" w:rsidP="00C4744F" w:rsidRDefault="00511494" w14:paraId="298CDAFA" w14:textId="77777777">
      <w:pPr>
        <w:rPr>
          <w:rFonts w:cstheme="minorHAnsi"/>
        </w:rPr>
      </w:pPr>
      <w:r w:rsidRPr="00C4744F">
        <w:rPr>
          <w:rFonts w:cstheme="minorHAnsi"/>
        </w:rPr>
        <w:t>Barclay S, ‘Recognizing and managing conflict between patients, parents and health professionals’ (2016) 26(7) </w:t>
      </w:r>
      <w:r w:rsidRPr="00C4744F">
        <w:rPr>
          <w:rStyle w:val="Emphasis"/>
          <w:rFonts w:cstheme="minorHAnsi"/>
        </w:rPr>
        <w:t>Paediatrics and Child Health</w:t>
      </w:r>
      <w:r w:rsidRPr="00C4744F">
        <w:rPr>
          <w:rFonts w:cstheme="minorHAnsi"/>
        </w:rPr>
        <w:t> 314.</w:t>
      </w:r>
    </w:p>
    <w:p w:rsidRPr="00C4744F" w:rsidR="00C4744F" w:rsidP="00C4744F" w:rsidRDefault="00C4744F" w14:paraId="6DE2DEA8" w14:textId="77777777">
      <w:pPr>
        <w:rPr>
          <w:rFonts w:cstheme="minorHAnsi"/>
        </w:rPr>
      </w:pPr>
    </w:p>
    <w:p w:rsidRPr="00C4744F" w:rsidR="00511494" w:rsidP="00C4744F" w:rsidRDefault="00511494" w14:paraId="1BB965F7" w14:textId="77777777">
      <w:pPr>
        <w:rPr>
          <w:rFonts w:cstheme="minorHAnsi"/>
        </w:rPr>
      </w:pPr>
      <w:r w:rsidRPr="00C4744F">
        <w:rPr>
          <w:rFonts w:cstheme="minorHAnsi"/>
        </w:rPr>
        <w:t>Barlet MH et al, ‘Decisional Satisfaction, Regret and Conflict among Parents of Infants with Neurologic Conditions’ (2022) 245 The Journal of Pediatrics 81.</w:t>
      </w:r>
    </w:p>
    <w:p w:rsidRPr="00C4744F" w:rsidR="00C4744F" w:rsidP="00C4744F" w:rsidRDefault="00C4744F" w14:paraId="093D9B69" w14:textId="77777777">
      <w:pPr>
        <w:rPr>
          <w:rFonts w:cstheme="minorHAnsi"/>
        </w:rPr>
      </w:pPr>
    </w:p>
    <w:p w:rsidRPr="00C4744F" w:rsidR="00511494" w:rsidP="00C4744F" w:rsidRDefault="00511494" w14:paraId="32897099" w14:textId="77777777">
      <w:pPr>
        <w:rPr>
          <w:rFonts w:cstheme="minorHAnsi"/>
        </w:rPr>
      </w:pPr>
      <w:r w:rsidRPr="00C4744F">
        <w:rPr>
          <w:rFonts w:cstheme="minorHAnsi"/>
        </w:rPr>
        <w:t>Basu S and Preisz A, ‘Family Conflict and Aggression in the Paediatric Intensive Care Unit: Responding to Challenges in Practice’ (2022) (Apr) Clinical Ethics 12.</w:t>
      </w:r>
    </w:p>
    <w:p w:rsidRPr="00C4744F" w:rsidR="00C4744F" w:rsidP="00C4744F" w:rsidRDefault="00C4744F" w14:paraId="35C3120C" w14:textId="77777777">
      <w:pPr>
        <w:rPr>
          <w:rFonts w:cstheme="minorHAnsi"/>
        </w:rPr>
      </w:pPr>
    </w:p>
    <w:p w:rsidRPr="00C4744F" w:rsidR="00511494" w:rsidP="00C4744F" w:rsidRDefault="00511494" w14:paraId="5DB17C71" w14:textId="77777777">
      <w:pPr>
        <w:rPr>
          <w:rFonts w:cstheme="minorHAnsi"/>
        </w:rPr>
      </w:pPr>
      <w:r w:rsidRPr="00C4744F">
        <w:rPr>
          <w:rFonts w:cstheme="minorHAnsi"/>
        </w:rPr>
        <w:t>Baiocchi C and Horowicz E. ‘Children, Futility and Parental Disagreement: The importance of ethical reasoning for clinicians in the pediatric intensive care setting’ (2023) 18(1) Clinical Ethics 26.</w:t>
      </w:r>
    </w:p>
    <w:p w:rsidRPr="00C4744F" w:rsidR="00C4744F" w:rsidP="00C4744F" w:rsidRDefault="00C4744F" w14:paraId="7DDFD5A4" w14:textId="77777777">
      <w:pPr>
        <w:rPr>
          <w:rFonts w:cstheme="minorHAnsi"/>
        </w:rPr>
      </w:pPr>
    </w:p>
    <w:p w:rsidR="00511494" w:rsidP="00C4744F" w:rsidRDefault="00511494" w14:paraId="7CFFD33D" w14:textId="77777777">
      <w:pPr>
        <w:rPr>
          <w:rFonts w:cstheme="minorHAnsi"/>
        </w:rPr>
      </w:pPr>
      <w:r w:rsidRPr="00C4744F">
        <w:rPr>
          <w:rFonts w:cstheme="minorHAnsi"/>
        </w:rPr>
        <w:t>Bateman LB et al, ‘A Qualitative Examination of Physician Gender and Parental Status in Pediatric End-of-Life Communication’ (2017) 32(7) Health Communication 903.</w:t>
      </w:r>
    </w:p>
    <w:p w:rsidRPr="00C4744F" w:rsidR="00C4744F" w:rsidP="00C4744F" w:rsidRDefault="00C4744F" w14:paraId="0AA79358" w14:textId="77777777">
      <w:pPr>
        <w:rPr>
          <w:rFonts w:cstheme="minorHAnsi"/>
        </w:rPr>
      </w:pPr>
    </w:p>
    <w:p w:rsidRPr="00C4744F" w:rsidR="00511494" w:rsidP="00C4744F" w:rsidRDefault="00511494" w14:paraId="7D57C357" w14:textId="77777777">
      <w:pPr>
        <w:rPr>
          <w:rFonts w:cstheme="minorHAnsi"/>
        </w:rPr>
      </w:pPr>
      <w:r w:rsidRPr="00C4744F">
        <w:rPr>
          <w:rFonts w:cstheme="minorHAnsi"/>
        </w:rPr>
        <w:t>Bell C and Brierley J, ‘What is the impact of high-profile end-of-life disputes on Paediatric Intensive Care (PIC) trainees?’(2022) 107(Suppl 2) Arch Dis Child A1-A537.</w:t>
      </w:r>
    </w:p>
    <w:p w:rsidRPr="00C4744F" w:rsidR="00C4744F" w:rsidP="00C4744F" w:rsidRDefault="00C4744F" w14:paraId="73749185" w14:textId="77777777">
      <w:pPr>
        <w:rPr>
          <w:rFonts w:cstheme="minorHAnsi"/>
          <w:sz w:val="24"/>
          <w:szCs w:val="24"/>
        </w:rPr>
      </w:pPr>
    </w:p>
    <w:p w:rsidRPr="00C4744F" w:rsidR="00511494" w:rsidP="00C4744F" w:rsidRDefault="00511494" w14:paraId="2AEDEE4C" w14:textId="77777777">
      <w:pPr>
        <w:rPr>
          <w:rFonts w:cstheme="minorHAnsi"/>
        </w:rPr>
      </w:pPr>
      <w:r w:rsidRPr="00C4744F">
        <w:rPr>
          <w:rFonts w:cstheme="minorHAnsi"/>
        </w:rPr>
        <w:t>Benbow D, ‘</w:t>
      </w:r>
      <w:r w:rsidRPr="00C4744F">
        <w:rPr>
          <w:rFonts w:cstheme="minorHAnsi"/>
          <w:i/>
          <w:iCs/>
        </w:rPr>
        <w:t>Tafida Raqeeb</w:t>
      </w:r>
      <w:r w:rsidRPr="00C4744F">
        <w:rPr>
          <w:rFonts w:cstheme="minorHAnsi"/>
        </w:rPr>
        <w:t xml:space="preserve"> v </w:t>
      </w:r>
      <w:r w:rsidRPr="00C4744F">
        <w:rPr>
          <w:rFonts w:cstheme="minorHAnsi"/>
          <w:i/>
          <w:iCs/>
        </w:rPr>
        <w:t>Barts NHS Foundation Trust and Others</w:t>
      </w:r>
      <w:r w:rsidRPr="00C4744F">
        <w:rPr>
          <w:rFonts w:cstheme="minorHAnsi"/>
        </w:rPr>
        <w:t xml:space="preserve"> [2019]: Bolstering the Argument for Mediation’ (2019) 19(4) Medical Law international 298.</w:t>
      </w:r>
    </w:p>
    <w:p w:rsidRPr="00C4744F" w:rsidR="00C4744F" w:rsidP="00C4744F" w:rsidRDefault="00C4744F" w14:paraId="0D36B909" w14:textId="77777777">
      <w:pPr>
        <w:rPr>
          <w:rFonts w:cstheme="minorHAnsi"/>
        </w:rPr>
      </w:pPr>
    </w:p>
    <w:p w:rsidRPr="00C4744F" w:rsidR="00511494" w:rsidP="00C4744F" w:rsidRDefault="00511494" w14:paraId="04DB9FAC" w14:textId="77777777">
      <w:pPr>
        <w:rPr>
          <w:rFonts w:cstheme="minorHAnsi"/>
        </w:rPr>
      </w:pPr>
      <w:r w:rsidRPr="00C4744F">
        <w:rPr>
          <w:rFonts w:cstheme="minorHAnsi"/>
        </w:rPr>
        <w:t>Benbow DI, ‘An Analysis of Charlie’s Law and Alfie’s Law’ (2020) 28(2) Medical Law Review 223.</w:t>
      </w:r>
    </w:p>
    <w:p w:rsidRPr="00C4744F" w:rsidR="00C4744F" w:rsidP="00C4744F" w:rsidRDefault="00C4744F" w14:paraId="472B0218" w14:textId="77777777">
      <w:pPr>
        <w:rPr>
          <w:rFonts w:cstheme="minorHAnsi"/>
        </w:rPr>
      </w:pPr>
    </w:p>
    <w:p w:rsidRPr="00C4744F" w:rsidR="00511494" w:rsidP="00C4744F" w:rsidRDefault="00511494" w14:paraId="78893697" w14:textId="77777777">
      <w:pPr>
        <w:rPr>
          <w:rFonts w:cstheme="minorHAnsi"/>
        </w:rPr>
      </w:pPr>
      <w:r w:rsidRPr="00C4744F">
        <w:rPr>
          <w:rFonts w:cstheme="minorHAnsi"/>
        </w:rPr>
        <w:t>Bester JC, ‘The Harm Principle cannot replace the Best Interests standard: Problems with using the Harm Principle for medical decisions for children’ (2018) 18 American Journal of Bioethics 9</w:t>
      </w:r>
    </w:p>
    <w:p w:rsidRPr="00C4744F" w:rsidR="00C4744F" w:rsidP="00C4744F" w:rsidRDefault="00C4744F" w14:paraId="4C848E0F" w14:textId="77777777">
      <w:pPr>
        <w:rPr>
          <w:rFonts w:cstheme="minorHAnsi"/>
        </w:rPr>
      </w:pPr>
    </w:p>
    <w:p w:rsidRPr="00C4744F" w:rsidR="00511494" w:rsidP="00C4744F" w:rsidRDefault="00511494" w14:paraId="43002608" w14:textId="77777777">
      <w:pPr>
        <w:rPr>
          <w:rFonts w:cstheme="minorHAnsi"/>
        </w:rPr>
      </w:pPr>
      <w:r w:rsidRPr="00C4744F">
        <w:rPr>
          <w:rFonts w:cstheme="minorHAnsi"/>
        </w:rPr>
        <w:t>Bester JC, ‘The Best Interests standard and children: Clarifying a concept and responding to its critics’ (2019) 45 Journal of Medical Ethics 117.</w:t>
      </w:r>
    </w:p>
    <w:p w:rsidRPr="00C4744F" w:rsidR="00C4744F" w:rsidP="00C4744F" w:rsidRDefault="00C4744F" w14:paraId="738EDCCC" w14:textId="77777777">
      <w:pPr>
        <w:rPr>
          <w:rFonts w:cstheme="minorHAnsi"/>
        </w:rPr>
      </w:pPr>
    </w:p>
    <w:p w:rsidRPr="00C4744F" w:rsidR="00511494" w:rsidP="00C4744F" w:rsidRDefault="00511494" w14:paraId="77BFDF63" w14:textId="77777777">
      <w:pPr>
        <w:rPr>
          <w:rFonts w:cstheme="minorHAnsi"/>
        </w:rPr>
      </w:pPr>
      <w:r w:rsidRPr="00C4744F">
        <w:rPr>
          <w:rFonts w:cstheme="minorHAnsi"/>
        </w:rPr>
        <w:t>Bhatia N and Birchley G, ‘Medical Tourism and the Best Interests of the Critically Ill Child in the era of Healthcare Globalisation’ (2020) Medical Law Review</w:t>
      </w:r>
    </w:p>
    <w:p w:rsidRPr="00C4744F" w:rsidR="00C4744F" w:rsidP="00C4744F" w:rsidRDefault="00C4744F" w14:paraId="11DDF1BB" w14:textId="77777777">
      <w:pPr>
        <w:rPr>
          <w:rFonts w:cstheme="minorHAnsi"/>
        </w:rPr>
      </w:pPr>
    </w:p>
    <w:p w:rsidRPr="00C4744F" w:rsidR="00511494" w:rsidP="00C4744F" w:rsidRDefault="00511494" w14:paraId="16E9DB0B" w14:textId="77777777">
      <w:pPr>
        <w:rPr>
          <w:rFonts w:cstheme="minorHAnsi"/>
        </w:rPr>
      </w:pPr>
      <w:r w:rsidRPr="00C4744F">
        <w:rPr>
          <w:rFonts w:cstheme="minorHAnsi"/>
        </w:rPr>
        <w:t>Birchley G, ‘The Harm Principle and the Best Interests Standard: Are Aspirational or Minimal Standards the Key?’ (2018) 18 American Journal of Bioethics 32.</w:t>
      </w:r>
    </w:p>
    <w:p w:rsidRPr="00C4744F" w:rsidR="00C4744F" w:rsidP="00C4744F" w:rsidRDefault="00C4744F" w14:paraId="100DE726" w14:textId="77777777">
      <w:pPr>
        <w:rPr>
          <w:rFonts w:cstheme="minorHAnsi"/>
        </w:rPr>
      </w:pPr>
    </w:p>
    <w:p w:rsidRPr="00C4744F" w:rsidR="00511494" w:rsidP="00C4744F" w:rsidRDefault="00511494" w14:paraId="2484F510" w14:textId="77777777">
      <w:pPr>
        <w:rPr>
          <w:rFonts w:cstheme="minorHAnsi"/>
        </w:rPr>
      </w:pPr>
      <w:r w:rsidRPr="00C4744F">
        <w:rPr>
          <w:rFonts w:cstheme="minorHAnsi"/>
        </w:rPr>
        <w:t>Birchley G et al, ‘Clinical Ethics: Medical Tourism in Children’ (2021) 106(12) Clinical Ethics 1143.</w:t>
      </w:r>
    </w:p>
    <w:p w:rsidRPr="00C4744F" w:rsidR="00C4744F" w:rsidP="00C4744F" w:rsidRDefault="00C4744F" w14:paraId="538C43B7" w14:textId="77777777">
      <w:pPr>
        <w:rPr>
          <w:rFonts w:cstheme="minorHAnsi"/>
        </w:rPr>
      </w:pPr>
    </w:p>
    <w:p w:rsidRPr="00C4744F" w:rsidR="00511494" w:rsidP="00C4744F" w:rsidRDefault="00511494" w14:paraId="1BBA25E8" w14:textId="77777777">
      <w:pPr>
        <w:rPr>
          <w:rFonts w:cstheme="minorHAnsi"/>
        </w:rPr>
      </w:pPr>
      <w:r w:rsidRPr="00C4744F">
        <w:rPr>
          <w:rFonts w:cstheme="minorHAnsi"/>
        </w:rPr>
        <w:t>Birchley G et al, ‘Factors affecting decision-making in children with complex care needs: a consensus approach to develop best practice in a UK children’s hospital’ (2022) 6(1) BMJ Paediatrics Open [e001589] 1.</w:t>
      </w:r>
    </w:p>
    <w:p w:rsidRPr="00C4744F" w:rsidR="00C4744F" w:rsidP="00C4744F" w:rsidRDefault="00C4744F" w14:paraId="6F162B97" w14:textId="77777777">
      <w:pPr>
        <w:rPr>
          <w:rFonts w:cstheme="minorHAnsi"/>
        </w:rPr>
      </w:pPr>
    </w:p>
    <w:p w:rsidRPr="00C4744F" w:rsidR="00511494" w:rsidP="00C4744F" w:rsidRDefault="00511494" w14:paraId="4F4CE682" w14:textId="77777777">
      <w:pPr>
        <w:rPr>
          <w:rFonts w:cstheme="minorHAnsi"/>
        </w:rPr>
      </w:pPr>
      <w:r w:rsidRPr="00C4744F">
        <w:rPr>
          <w:rFonts w:cstheme="minorHAnsi"/>
        </w:rPr>
        <w:t>Birchley G and Ives J, ‘Fallacious, misleading and unhelpful: The case for removing “systematic review” from bioethics nomenclature’ (2022) 36(6) Bioethics 365.</w:t>
      </w:r>
    </w:p>
    <w:p w:rsidRPr="00C4744F" w:rsidR="00C4744F" w:rsidP="00C4744F" w:rsidRDefault="00C4744F" w14:paraId="0C181259" w14:textId="77777777">
      <w:pPr>
        <w:rPr>
          <w:rFonts w:cstheme="minorHAnsi"/>
        </w:rPr>
      </w:pPr>
    </w:p>
    <w:p w:rsidRPr="00C4744F" w:rsidR="00511494" w:rsidP="00C4744F" w:rsidRDefault="00511494" w14:paraId="5433F007" w14:textId="77777777">
      <w:pPr>
        <w:rPr>
          <w:rFonts w:cstheme="minorHAnsi"/>
        </w:rPr>
      </w:pPr>
      <w:r w:rsidRPr="00C4744F">
        <w:rPr>
          <w:rFonts w:cstheme="minorHAnsi"/>
        </w:rPr>
        <w:t>Blumethal-Barby JS et al, ‘In defence of “denial”: Difficulty knowing when beliefs are unrealistic and whether unrealistic beliefs are bad’ (2018) 18 Am J Bioethics 4.</w:t>
      </w:r>
    </w:p>
    <w:p w:rsidRPr="00C4744F" w:rsidR="00C4744F" w:rsidP="00C4744F" w:rsidRDefault="00C4744F" w14:paraId="6B65E6B3" w14:textId="77777777">
      <w:pPr>
        <w:rPr>
          <w:rFonts w:cstheme="minorHAnsi"/>
        </w:rPr>
      </w:pPr>
    </w:p>
    <w:p w:rsidRPr="00C4744F" w:rsidR="00511494" w:rsidP="00C4744F" w:rsidRDefault="00511494" w14:paraId="678C1E79" w14:textId="77777777">
      <w:pPr>
        <w:rPr>
          <w:rFonts w:cstheme="minorHAnsi"/>
        </w:rPr>
      </w:pPr>
      <w:r w:rsidRPr="00C4744F">
        <w:rPr>
          <w:rFonts w:cstheme="minorHAnsi"/>
        </w:rPr>
        <w:t>Brenner M et al, ‘Children’s complex care needs: A systematic concept of analysis of multidisciplinary language’ (2018) 177 Eur J Pediatr 1641.</w:t>
      </w:r>
    </w:p>
    <w:p w:rsidRPr="00C4744F" w:rsidR="00C4744F" w:rsidP="00C4744F" w:rsidRDefault="00C4744F" w14:paraId="296C39A7" w14:textId="77777777">
      <w:pPr>
        <w:rPr>
          <w:rFonts w:cstheme="minorHAnsi"/>
        </w:rPr>
      </w:pPr>
    </w:p>
    <w:p w:rsidRPr="00C4744F" w:rsidR="00511494" w:rsidP="00C4744F" w:rsidRDefault="00511494" w14:paraId="0579F14F" w14:textId="77777777">
      <w:pPr>
        <w:rPr>
          <w:rFonts w:cstheme="minorHAnsi"/>
        </w:rPr>
      </w:pPr>
      <w:r w:rsidRPr="00C4744F">
        <w:rPr>
          <w:rFonts w:cstheme="minorHAnsi"/>
        </w:rPr>
        <w:t>Brick C et al, ‘Worth Living or Worth Dying?: The views of the general public about allowing disabled children to die’ (2020) 46 J Med Ethics 7.</w:t>
      </w:r>
    </w:p>
    <w:p w:rsidRPr="00C4744F" w:rsidR="00C4744F" w:rsidP="00C4744F" w:rsidRDefault="00C4744F" w14:paraId="4BC8707D" w14:textId="77777777">
      <w:pPr>
        <w:rPr>
          <w:rFonts w:cstheme="minorHAnsi"/>
        </w:rPr>
      </w:pPr>
    </w:p>
    <w:p w:rsidRPr="00C4744F" w:rsidR="00511494" w:rsidP="00C4744F" w:rsidRDefault="00511494" w14:paraId="322B2603" w14:textId="77777777">
      <w:pPr>
        <w:rPr>
          <w:rFonts w:cstheme="minorHAnsi"/>
        </w:rPr>
      </w:pPr>
      <w:r w:rsidRPr="00C4744F">
        <w:rPr>
          <w:rFonts w:cstheme="minorHAnsi"/>
        </w:rPr>
        <w:t>Bridgeman J, ‘</w:t>
      </w:r>
      <w:r w:rsidRPr="00C4744F">
        <w:rPr>
          <w:rFonts w:cstheme="minorHAnsi"/>
          <w:i/>
          <w:iCs/>
        </w:rPr>
        <w:t>Gard &amp; Yates v GOSH</w:t>
      </w:r>
      <w:r w:rsidRPr="00C4744F">
        <w:rPr>
          <w:rFonts w:cstheme="minorHAnsi"/>
        </w:rPr>
        <w:t>, the Guardian and the United Kingdom: Reflections on the Legal Process and the Legal Principles (2017) 17 Medical Law International 285.</w:t>
      </w:r>
    </w:p>
    <w:p w:rsidRPr="00C4744F" w:rsidR="00C4744F" w:rsidP="00C4744F" w:rsidRDefault="00C4744F" w14:paraId="4814B5DF" w14:textId="77777777">
      <w:pPr>
        <w:rPr>
          <w:rFonts w:cstheme="minorHAnsi"/>
        </w:rPr>
      </w:pPr>
    </w:p>
    <w:p w:rsidRPr="00C4744F" w:rsidR="00511494" w:rsidP="00C4744F" w:rsidRDefault="00511494" w14:paraId="3C5E116A" w14:textId="77777777">
      <w:pPr>
        <w:rPr>
          <w:rFonts w:cstheme="minorHAnsi"/>
        </w:rPr>
      </w:pPr>
      <w:r w:rsidRPr="00C4744F">
        <w:rPr>
          <w:rFonts w:cstheme="minorHAnsi"/>
        </w:rPr>
        <w:t>Bridgeman J, ‘”Our Legal Responsibility…to intervene on behalf of the child”: Recognising public responsibilities for the medical treatment of children’ (2021) 21(1) Medical Law International 19.</w:t>
      </w:r>
    </w:p>
    <w:p w:rsidRPr="00C4744F" w:rsidR="00C4744F" w:rsidP="00C4744F" w:rsidRDefault="00C4744F" w14:paraId="0D7CFC68" w14:textId="77777777">
      <w:pPr>
        <w:rPr>
          <w:rFonts w:cstheme="minorHAnsi"/>
        </w:rPr>
      </w:pPr>
    </w:p>
    <w:p w:rsidR="00511494" w:rsidP="00C4744F" w:rsidRDefault="00511494" w14:paraId="7FCEDE8E" w14:textId="77777777">
      <w:pPr>
        <w:rPr>
          <w:rFonts w:cstheme="minorHAnsi"/>
        </w:rPr>
      </w:pPr>
      <w:r w:rsidRPr="00C4744F">
        <w:rPr>
          <w:rFonts w:cstheme="minorHAnsi"/>
        </w:rPr>
        <w:t>Bridgeman J, ‘Children’s medical treatment decision-making: Reform or Review’ (2021) 16(3) Clinical Ethics 183.</w:t>
      </w:r>
    </w:p>
    <w:p w:rsidRPr="00C4744F" w:rsidR="00C4744F" w:rsidP="00C4744F" w:rsidRDefault="00C4744F" w14:paraId="449CB5E7" w14:textId="77777777">
      <w:pPr>
        <w:rPr>
          <w:rFonts w:cstheme="minorHAnsi"/>
        </w:rPr>
      </w:pPr>
    </w:p>
    <w:p w:rsidRPr="00C4744F" w:rsidR="00511494" w:rsidP="00C4744F" w:rsidRDefault="00511494" w14:paraId="3E3CDFA1" w14:textId="77777777">
      <w:pPr>
        <w:rPr>
          <w:rFonts w:cstheme="minorHAnsi"/>
        </w:rPr>
      </w:pPr>
      <w:r w:rsidRPr="00C4744F">
        <w:rPr>
          <w:rFonts w:cstheme="minorHAnsi"/>
        </w:rPr>
        <w:t>Brierley J, Linthicum L and Petros A, ‘Should religious beliefs be allowed to stonewall a secular approach to withdrawing and withholding treatment in children?’ (2013) 39(9) J Med Ethics 573.</w:t>
      </w:r>
    </w:p>
    <w:p w:rsidRPr="00C4744F" w:rsidR="00C4744F" w:rsidP="00C4744F" w:rsidRDefault="00C4744F" w14:paraId="247AC81B" w14:textId="77777777">
      <w:pPr>
        <w:rPr>
          <w:rFonts w:cstheme="minorHAnsi"/>
        </w:rPr>
      </w:pPr>
    </w:p>
    <w:p w:rsidRPr="00C4744F" w:rsidR="00511494" w:rsidP="00C4744F" w:rsidRDefault="00511494" w14:paraId="405BE8A6" w14:textId="77777777">
      <w:pPr>
        <w:rPr>
          <w:rFonts w:cstheme="minorHAnsi"/>
        </w:rPr>
      </w:pPr>
      <w:r w:rsidRPr="00C4744F">
        <w:rPr>
          <w:rFonts w:cstheme="minorHAnsi"/>
        </w:rPr>
        <w:t>Brosig CL et al, ‘Infant end-of-life care: The Parents Perspective’ (2007) 27(8) J Perinatol 510.</w:t>
      </w:r>
    </w:p>
    <w:p w:rsidRPr="00C4744F" w:rsidR="00C4744F" w:rsidP="00C4744F" w:rsidRDefault="00C4744F" w14:paraId="0E3CA93F" w14:textId="77777777">
      <w:pPr>
        <w:rPr>
          <w:rFonts w:cstheme="minorHAnsi"/>
        </w:rPr>
      </w:pPr>
    </w:p>
    <w:p w:rsidRPr="00C4744F" w:rsidR="00511494" w:rsidP="00C4744F" w:rsidRDefault="00511494" w14:paraId="20F8F4E2" w14:textId="77777777">
      <w:pPr>
        <w:rPr>
          <w:rFonts w:cstheme="minorHAnsi"/>
        </w:rPr>
      </w:pPr>
      <w:r w:rsidRPr="00C4744F">
        <w:rPr>
          <w:rFonts w:cstheme="minorHAnsi"/>
        </w:rPr>
        <w:t>Browne A, ‘Physician Authority, Family Choice and the Best Interests of the Child’ (2022) 31(1) Cambridge Quarterly of Healthcare Ethics 34.</w:t>
      </w:r>
    </w:p>
    <w:p w:rsidRPr="00D10A12" w:rsidR="00511494" w:rsidP="00D10A12" w:rsidRDefault="00511494" w14:paraId="09D74E02" w14:textId="77777777">
      <w:pPr>
        <w:rPr>
          <w:rFonts w:cstheme="minorHAnsi"/>
        </w:rPr>
      </w:pPr>
      <w:r w:rsidRPr="00D10A12">
        <w:rPr>
          <w:rFonts w:cstheme="minorHAnsi"/>
        </w:rPr>
        <w:t>Caruso Brown AE, ‘Reconceiving Decisions at the End of Life in Pediatrics: Decision-Making as a Form of Ritual’ (2019) 62(2) Perspectives in Biology and Medicine 301.</w:t>
      </w:r>
    </w:p>
    <w:p w:rsidRPr="00D10A12" w:rsidR="00D10A12" w:rsidP="00D10A12" w:rsidRDefault="00D10A12" w14:paraId="49DFA985" w14:textId="77777777">
      <w:pPr>
        <w:rPr>
          <w:rFonts w:cstheme="minorHAnsi"/>
        </w:rPr>
      </w:pPr>
    </w:p>
    <w:p w:rsidRPr="00D10A12" w:rsidR="00511494" w:rsidP="00D10A12" w:rsidRDefault="00511494" w14:paraId="23D85647" w14:textId="77777777">
      <w:pPr>
        <w:rPr>
          <w:rFonts w:cstheme="minorHAnsi"/>
        </w:rPr>
      </w:pPr>
      <w:r w:rsidRPr="00D10A12">
        <w:rPr>
          <w:rFonts w:cstheme="minorHAnsi"/>
        </w:rPr>
        <w:t>Cave E and Nottingham E, ‘Who knows Best (interests)? The case of Charlie Gard’ (2017) 26 Medical Law Review 500.</w:t>
      </w:r>
    </w:p>
    <w:p w:rsidRPr="00D10A12" w:rsidR="00D10A12" w:rsidP="00D10A12" w:rsidRDefault="00D10A12" w14:paraId="0896A587" w14:textId="77777777">
      <w:pPr>
        <w:rPr>
          <w:rFonts w:cstheme="minorHAnsi"/>
        </w:rPr>
      </w:pPr>
    </w:p>
    <w:p w:rsidRPr="00D10A12" w:rsidR="00511494" w:rsidP="00D10A12" w:rsidRDefault="00511494" w14:paraId="3D72BA6F" w14:textId="77777777">
      <w:pPr>
        <w:rPr>
          <w:rFonts w:cstheme="minorHAnsi"/>
        </w:rPr>
      </w:pPr>
      <w:r w:rsidRPr="00D10A12">
        <w:rPr>
          <w:rFonts w:cstheme="minorHAnsi"/>
        </w:rPr>
        <w:t>Cave E et al, ‘Making Decisions for Children’ (2020) 28 Medical Law Review 183.</w:t>
      </w:r>
    </w:p>
    <w:p w:rsidRPr="00D10A12" w:rsidR="00511494" w:rsidP="00D10A12" w:rsidRDefault="00511494" w14:paraId="75670997" w14:textId="77777777">
      <w:pPr>
        <w:rPr>
          <w:rFonts w:cstheme="minorHAnsi"/>
        </w:rPr>
      </w:pPr>
      <w:r w:rsidRPr="00D10A12">
        <w:rPr>
          <w:rFonts w:cstheme="minorHAnsi"/>
        </w:rPr>
        <w:t>Choong K, ‘Can “Medical Futility” conflicts be mediated?’ (2018) 6 Journal of Medical Law and Ethics 41.</w:t>
      </w:r>
    </w:p>
    <w:p w:rsidRPr="00D10A12" w:rsidR="00D10A12" w:rsidP="00D10A12" w:rsidRDefault="00D10A12" w14:paraId="6D77C0F9" w14:textId="77777777">
      <w:pPr>
        <w:rPr>
          <w:rFonts w:cstheme="minorHAnsi"/>
        </w:rPr>
      </w:pPr>
    </w:p>
    <w:p w:rsidR="00511494" w:rsidP="00D10A12" w:rsidRDefault="00511494" w14:paraId="0CE7DAD2" w14:textId="77777777">
      <w:pPr>
        <w:rPr>
          <w:rFonts w:cstheme="minorHAnsi"/>
        </w:rPr>
      </w:pPr>
      <w:r w:rsidRPr="00D10A12">
        <w:rPr>
          <w:rFonts w:cstheme="minorHAnsi"/>
        </w:rPr>
        <w:t>Das R, ‘Populist discourse on a British social media patient-support community: The case of the Charlie Gard support campaign on Facebook’ (2018) 24 Discourse, Context and Media 76.</w:t>
      </w:r>
    </w:p>
    <w:p w:rsidRPr="00D10A12" w:rsidR="00D10A12" w:rsidP="00D10A12" w:rsidRDefault="00D10A12" w14:paraId="33198B81" w14:textId="77777777">
      <w:pPr>
        <w:rPr>
          <w:rFonts w:cstheme="minorHAnsi"/>
        </w:rPr>
      </w:pPr>
    </w:p>
    <w:p w:rsidR="00511494" w:rsidP="00D10A12" w:rsidRDefault="00511494" w14:paraId="35C27299" w14:textId="77777777">
      <w:pPr>
        <w:rPr>
          <w:rFonts w:cstheme="minorHAnsi"/>
        </w:rPr>
      </w:pPr>
      <w:r w:rsidRPr="00D10A12">
        <w:rPr>
          <w:rFonts w:cstheme="minorHAnsi"/>
        </w:rPr>
        <w:t>Delany C et al, ‘Managing aggression in hospitals: A role for clinical ethicists’ (2021) 16 J Clin Ethics 252.</w:t>
      </w:r>
    </w:p>
    <w:p w:rsidRPr="00D10A12" w:rsidR="00D10A12" w:rsidP="00D10A12" w:rsidRDefault="00D10A12" w14:paraId="688E0FC6" w14:textId="77777777">
      <w:pPr>
        <w:rPr>
          <w:rFonts w:cstheme="minorHAnsi"/>
        </w:rPr>
      </w:pPr>
    </w:p>
    <w:p w:rsidR="00511494" w:rsidP="00D10A12" w:rsidRDefault="00511494" w14:paraId="7FB315EB" w14:textId="77777777">
      <w:pPr>
        <w:rPr>
          <w:rFonts w:cstheme="minorHAnsi"/>
        </w:rPr>
      </w:pPr>
      <w:r w:rsidRPr="00D10A12">
        <w:rPr>
          <w:rFonts w:cstheme="minorHAnsi"/>
        </w:rPr>
        <w:t>Diekema D, ‘Parental Refusals of Medical Treatment: The Harm Principle as Threshold for State Intervention’ (2004) 25(4) Philosophy of Medical Research and Practice 243.</w:t>
      </w:r>
    </w:p>
    <w:p w:rsidRPr="00D10A12" w:rsidR="00D10A12" w:rsidP="00D10A12" w:rsidRDefault="00D10A12" w14:paraId="74AC5B94" w14:textId="77777777">
      <w:pPr>
        <w:rPr>
          <w:rFonts w:cstheme="minorHAnsi"/>
        </w:rPr>
      </w:pPr>
    </w:p>
    <w:p w:rsidR="00511494" w:rsidP="00D10A12" w:rsidRDefault="00511494" w14:paraId="145CDD5F" w14:textId="77777777">
      <w:pPr>
        <w:rPr>
          <w:rFonts w:cstheme="minorHAnsi"/>
        </w:rPr>
      </w:pPr>
      <w:r w:rsidRPr="00D10A12">
        <w:rPr>
          <w:rFonts w:cstheme="minorHAnsi"/>
        </w:rPr>
        <w:t>Dolan JG et al, ‘Association of psychological distress and religious coping tendencies in parents of children recently diagnosed with cancer: A cross-sectional study’ (2021) 68 Pediatr Blood Cancer e28991.</w:t>
      </w:r>
    </w:p>
    <w:p w:rsidRPr="00D10A12" w:rsidR="00D10A12" w:rsidP="00D10A12" w:rsidRDefault="00D10A12" w14:paraId="6D359E57" w14:textId="77777777">
      <w:pPr>
        <w:rPr>
          <w:rFonts w:cstheme="minorHAnsi"/>
        </w:rPr>
      </w:pPr>
    </w:p>
    <w:p w:rsidR="00511494" w:rsidP="00D10A12" w:rsidRDefault="00511494" w14:paraId="49A548DF" w14:textId="77777777">
      <w:pPr>
        <w:rPr>
          <w:rFonts w:cstheme="minorHAnsi"/>
        </w:rPr>
      </w:pPr>
      <w:r w:rsidRPr="00D10A12">
        <w:rPr>
          <w:rFonts w:cstheme="minorHAnsi"/>
        </w:rPr>
        <w:t>Ekberg S, ‘Finding a way with words: Delphi study to develop a discussion prompt list for paediatric palliative care’ (2020) 34 Palliat Med 291.</w:t>
      </w:r>
    </w:p>
    <w:p w:rsidRPr="00D10A12" w:rsidR="00D10A12" w:rsidP="00D10A12" w:rsidRDefault="00D10A12" w14:paraId="06EA130F" w14:textId="77777777">
      <w:pPr>
        <w:rPr>
          <w:rFonts w:cstheme="minorHAnsi"/>
        </w:rPr>
      </w:pPr>
    </w:p>
    <w:p w:rsidR="00511494" w:rsidP="00D10A12" w:rsidRDefault="00511494" w14:paraId="64E9782A" w14:textId="77777777">
      <w:pPr>
        <w:rPr>
          <w:rFonts w:cstheme="minorHAnsi"/>
        </w:rPr>
      </w:pPr>
      <w:r w:rsidRPr="00D10A12">
        <w:rPr>
          <w:rFonts w:cstheme="minorHAnsi"/>
        </w:rPr>
        <w:t>Foot E et al, ‘”The stakes could not be higher”: A mixed methods study of parental social media use in peditaric oncology’ (2021) 68 Pediatr Blood Cancer e29176.</w:t>
      </w:r>
    </w:p>
    <w:p w:rsidRPr="00D10A12" w:rsidR="00D10A12" w:rsidP="00D10A12" w:rsidRDefault="00D10A12" w14:paraId="1023E440" w14:textId="77777777">
      <w:pPr>
        <w:rPr>
          <w:rFonts w:cstheme="minorHAnsi"/>
        </w:rPr>
      </w:pPr>
    </w:p>
    <w:p w:rsidR="00511494" w:rsidP="00D10A12" w:rsidRDefault="00511494" w14:paraId="6BB3C556" w14:textId="77777777">
      <w:pPr>
        <w:rPr>
          <w:rFonts w:cstheme="minorHAnsi"/>
        </w:rPr>
      </w:pPr>
      <w:r w:rsidRPr="00D10A12">
        <w:rPr>
          <w:rFonts w:cstheme="minorHAnsi"/>
        </w:rPr>
        <w:t>Forbat L et al, ‘Training paediatric healthcare staff in recognising, understanding and managing conflict with patients and families: Findings from a survey on immediate and 6- month impact’ (2017) 102(8) Arch Dis Child 250.</w:t>
      </w:r>
    </w:p>
    <w:p w:rsidRPr="00D10A12" w:rsidR="00D10A12" w:rsidP="00D10A12" w:rsidRDefault="00D10A12" w14:paraId="099CED4A" w14:textId="77777777">
      <w:pPr>
        <w:rPr>
          <w:rFonts w:cstheme="minorHAnsi"/>
        </w:rPr>
      </w:pPr>
    </w:p>
    <w:p w:rsidR="00511494" w:rsidP="00D10A12" w:rsidRDefault="00511494" w14:paraId="6AA66B87" w14:textId="77777777">
      <w:pPr>
        <w:rPr>
          <w:rFonts w:cstheme="minorHAnsi"/>
        </w:rPr>
      </w:pPr>
      <w:r w:rsidRPr="00D10A12">
        <w:rPr>
          <w:rFonts w:cstheme="minorHAnsi"/>
        </w:rPr>
        <w:t>Forbat L and Barclay S ‘Reducing healthcare conflict: Outcomes from using the conflict management framework’ (2019) 104(4) Arch Dis Child 328.</w:t>
      </w:r>
    </w:p>
    <w:p w:rsidRPr="00D10A12" w:rsidR="00D10A12" w:rsidP="00D10A12" w:rsidRDefault="00D10A12" w14:paraId="334944D9" w14:textId="77777777">
      <w:pPr>
        <w:rPr>
          <w:rFonts w:cstheme="minorHAnsi"/>
        </w:rPr>
      </w:pPr>
    </w:p>
    <w:p w:rsidR="00511494" w:rsidP="00D10A12" w:rsidRDefault="00511494" w14:paraId="0D77FA7B" w14:textId="77777777">
      <w:pPr>
        <w:rPr>
          <w:rFonts w:cstheme="minorHAnsi"/>
        </w:rPr>
      </w:pPr>
      <w:r w:rsidRPr="00D10A12">
        <w:rPr>
          <w:rFonts w:cstheme="minorHAnsi"/>
        </w:rPr>
        <w:t>Fraser LK et al, ‘Estimating the current and future prevalence of life-limiting conditions in children in England’ (2021) 35 Palliative Medicine 1641.</w:t>
      </w:r>
    </w:p>
    <w:p w:rsidRPr="00D10A12" w:rsidR="00D10A12" w:rsidP="00D10A12" w:rsidRDefault="00D10A12" w14:paraId="4BCF1EFF" w14:textId="77777777">
      <w:pPr>
        <w:rPr>
          <w:rFonts w:cstheme="minorHAnsi"/>
        </w:rPr>
      </w:pPr>
    </w:p>
    <w:p w:rsidR="00511494" w:rsidP="00D10A12" w:rsidRDefault="00511494" w14:paraId="4ED0EB64" w14:textId="77777777">
      <w:pPr>
        <w:rPr>
          <w:rFonts w:cstheme="minorHAnsi"/>
        </w:rPr>
      </w:pPr>
      <w:r w:rsidRPr="00D10A12">
        <w:rPr>
          <w:rFonts w:cstheme="minorHAnsi"/>
        </w:rPr>
        <w:t>Gallagher K et al, ‘Parental experience of interaction with healthcare professionals during their infants stay in the neonatal intensive care unit’ (2018) 103 Arch Dis Child F343.</w:t>
      </w:r>
    </w:p>
    <w:p w:rsidRPr="00D10A12" w:rsidR="00D10A12" w:rsidP="00D10A12" w:rsidRDefault="00D10A12" w14:paraId="617D1BBE" w14:textId="77777777">
      <w:pPr>
        <w:rPr>
          <w:rFonts w:cstheme="minorHAnsi"/>
        </w:rPr>
      </w:pPr>
    </w:p>
    <w:p w:rsidR="00511494" w:rsidP="00D10A12" w:rsidRDefault="00511494" w14:paraId="3FE349B3" w14:textId="77777777">
      <w:pPr>
        <w:rPr>
          <w:rFonts w:cstheme="minorHAnsi"/>
        </w:rPr>
      </w:pPr>
      <w:r w:rsidRPr="00D10A12">
        <w:rPr>
          <w:rFonts w:cstheme="minorHAnsi"/>
        </w:rPr>
        <w:t>Gamble N and Pruski M, ‘Should Parents be asked to consent for life-saving paediatric interventions?’ (2021) 22(4) J Intensive Care Soc 335.</w:t>
      </w:r>
    </w:p>
    <w:p w:rsidRPr="00D10A12" w:rsidR="00D10A12" w:rsidP="00D10A12" w:rsidRDefault="00D10A12" w14:paraId="291E461B" w14:textId="77777777">
      <w:pPr>
        <w:rPr>
          <w:rFonts w:cstheme="minorHAnsi"/>
        </w:rPr>
      </w:pPr>
    </w:p>
    <w:p w:rsidR="00511494" w:rsidP="00D10A12" w:rsidRDefault="00511494" w14:paraId="0D8F20DC" w14:textId="77777777">
      <w:pPr>
        <w:rPr>
          <w:rFonts w:cstheme="minorHAnsi"/>
        </w:rPr>
      </w:pPr>
      <w:r w:rsidRPr="00D10A12">
        <w:rPr>
          <w:rFonts w:cstheme="minorHAnsi"/>
        </w:rPr>
        <w:t>Heywood R, ‘Parents and Medical Professionals: Conﬂict, Cooperation, and Best Interests’ (2012) 20 (1) Medical Law Review 29.</w:t>
      </w:r>
    </w:p>
    <w:p w:rsidRPr="00D10A12" w:rsidR="00D10A12" w:rsidP="00D10A12" w:rsidRDefault="00D10A12" w14:paraId="4AAC27AA" w14:textId="77777777">
      <w:pPr>
        <w:rPr>
          <w:rFonts w:cstheme="minorHAnsi"/>
        </w:rPr>
      </w:pPr>
    </w:p>
    <w:p w:rsidRPr="00D10A12" w:rsidR="00511494" w:rsidP="00D10A12" w:rsidRDefault="00511494" w14:paraId="46EC60AD" w14:textId="77777777">
      <w:pPr>
        <w:rPr>
          <w:rFonts w:cstheme="minorHAnsi"/>
        </w:rPr>
      </w:pPr>
      <w:r w:rsidRPr="00D10A12">
        <w:rPr>
          <w:rFonts w:cstheme="minorHAnsi"/>
        </w:rPr>
        <w:t>Hill DL et al, ‘Changes over time in good-parent beliefs among parents of children with serious illness: A two-year cohort study’ (2019)58 J Pain Symptom Manage 190.</w:t>
      </w:r>
    </w:p>
    <w:p w:rsidR="00511494" w:rsidP="00D10A12" w:rsidRDefault="00511494" w14:paraId="7545B4FF" w14:textId="77777777">
      <w:pPr>
        <w:rPr>
          <w:rFonts w:cstheme="minorHAnsi"/>
        </w:rPr>
      </w:pPr>
      <w:r w:rsidRPr="00D10A12">
        <w:rPr>
          <w:rFonts w:cstheme="minorHAnsi"/>
        </w:rPr>
        <w:t>Huxtable R, ‘Clinic, Courtroom or (Specialist) Committee: In the Best Interests of the Critically Ill Child’ (2018) 44 J Med Ethics 471.</w:t>
      </w:r>
    </w:p>
    <w:p w:rsidRPr="00D10A12" w:rsidR="00D10A12" w:rsidP="00D10A12" w:rsidRDefault="00D10A12" w14:paraId="7A0174A4" w14:textId="77777777">
      <w:pPr>
        <w:rPr>
          <w:rFonts w:cstheme="minorHAnsi"/>
        </w:rPr>
      </w:pPr>
    </w:p>
    <w:p w:rsidR="00511494" w:rsidP="00D10A12" w:rsidRDefault="00511494" w14:paraId="0E3D86E9" w14:textId="77777777">
      <w:pPr>
        <w:rPr>
          <w:rFonts w:cstheme="minorHAnsi"/>
        </w:rPr>
      </w:pPr>
      <w:r w:rsidRPr="00D10A12">
        <w:rPr>
          <w:rFonts w:cstheme="minorHAnsi"/>
        </w:rPr>
        <w:t>Isaacs D and Preisz A, ‘The “Good Enough” Decision’ (2022) 58 Journal of Paediatrics and Child Health 750.</w:t>
      </w:r>
    </w:p>
    <w:p w:rsidRPr="00D10A12" w:rsidR="00D10A12" w:rsidP="00D10A12" w:rsidRDefault="00D10A12" w14:paraId="741AF49B" w14:textId="77777777">
      <w:pPr>
        <w:rPr>
          <w:rFonts w:cstheme="minorHAnsi"/>
        </w:rPr>
      </w:pPr>
    </w:p>
    <w:p w:rsidR="00511494" w:rsidP="00D10A12" w:rsidRDefault="00511494" w14:paraId="696D5E40" w14:textId="77777777">
      <w:pPr>
        <w:rPr>
          <w:rFonts w:cstheme="minorHAnsi"/>
        </w:rPr>
      </w:pPr>
      <w:r w:rsidRPr="00D10A12">
        <w:rPr>
          <w:rFonts w:cstheme="minorHAnsi"/>
        </w:rPr>
        <w:t>Jesmont C et al, ‘Prevalence and Sources of Tension in Paediatric Inpatient Care’ (2021) 106(12) Arch Dis Child 1238.</w:t>
      </w:r>
    </w:p>
    <w:p w:rsidRPr="00D10A12" w:rsidR="00D10A12" w:rsidP="00D10A12" w:rsidRDefault="00D10A12" w14:paraId="72BD3EB6" w14:textId="77777777">
      <w:pPr>
        <w:rPr>
          <w:rFonts w:cstheme="minorHAnsi"/>
        </w:rPr>
      </w:pPr>
    </w:p>
    <w:p w:rsidRPr="00D10A12" w:rsidR="00511494" w:rsidP="00D10A12" w:rsidRDefault="00511494" w14:paraId="23C5B3A4" w14:textId="77777777">
      <w:pPr>
        <w:rPr>
          <w:rFonts w:cstheme="minorHAnsi"/>
        </w:rPr>
      </w:pPr>
      <w:r w:rsidRPr="00D10A12">
        <w:rPr>
          <w:rFonts w:cstheme="minorHAnsi"/>
        </w:rPr>
        <w:t>Johal HK et al, ‘Conflict before the Courtroom: Challenging Cognitive Biases in Critical Decision-Making’ [2020] J Med Ethics: medethics-2020-106177.</w:t>
      </w:r>
    </w:p>
    <w:p w:rsidRPr="00D10A12" w:rsidR="00D10A12" w:rsidP="00D10A12" w:rsidRDefault="00D10A12" w14:paraId="0112E7C8" w14:textId="77777777">
      <w:pPr>
        <w:rPr>
          <w:rFonts w:cstheme="minorHAnsi"/>
        </w:rPr>
      </w:pPr>
    </w:p>
    <w:p w:rsidRPr="00D10A12" w:rsidR="00D10A12" w:rsidP="00D10A12" w:rsidRDefault="00511494" w14:paraId="1BE977E7" w14:textId="77777777">
      <w:pPr>
        <w:rPr>
          <w:rFonts w:cstheme="minorHAnsi"/>
        </w:rPr>
      </w:pPr>
      <w:r w:rsidRPr="00D10A12">
        <w:rPr>
          <w:rFonts w:cstheme="minorHAnsi"/>
        </w:rPr>
        <w:t>Johal HK et al, ‘We should move away from a focus on individual resilience towards resilient systems’ (2021) 375 BMJ n2737.</w:t>
      </w:r>
    </w:p>
    <w:p w:rsidRPr="00D10A12" w:rsidR="00D10A12" w:rsidP="00D10A12" w:rsidRDefault="00D10A12" w14:paraId="159DA0C6" w14:textId="77777777">
      <w:pPr>
        <w:rPr>
          <w:rFonts w:cstheme="minorHAnsi"/>
        </w:rPr>
      </w:pPr>
    </w:p>
    <w:p w:rsidRPr="00D10A12" w:rsidR="00511494" w:rsidP="00D10A12" w:rsidRDefault="00511494" w14:paraId="1878C147" w14:textId="14EB24A5">
      <w:pPr>
        <w:rPr>
          <w:rFonts w:cstheme="minorHAnsi"/>
        </w:rPr>
      </w:pPr>
      <w:r w:rsidRPr="00D10A12">
        <w:rPr>
          <w:rFonts w:cstheme="minorHAnsi"/>
        </w:rPr>
        <w:t>Johal HK, Birchley G and Huxtable R, ‘Exploring physician approaches to conflict resolution in end-of-life decisions in the adult intensive care unit: protocol for a systematic review of qualitative research’ (2022) 12(7) BMJ Open e057387.</w:t>
      </w:r>
    </w:p>
    <w:p w:rsidRPr="00D10A12" w:rsidR="00D10A12" w:rsidP="00D10A12" w:rsidRDefault="00D10A12" w14:paraId="7E1E2C30" w14:textId="77777777">
      <w:pPr>
        <w:rPr>
          <w:rFonts w:cstheme="minorHAnsi"/>
        </w:rPr>
      </w:pPr>
    </w:p>
    <w:p w:rsidR="00511494" w:rsidP="00D10A12" w:rsidRDefault="00511494" w14:paraId="6B9B8473" w14:textId="77777777">
      <w:pPr>
        <w:rPr>
          <w:rFonts w:cstheme="minorHAnsi"/>
        </w:rPr>
      </w:pPr>
      <w:r w:rsidRPr="00D10A12">
        <w:rPr>
          <w:rFonts w:cstheme="minorHAnsi"/>
        </w:rPr>
        <w:t>Kanthimathinathan HK et al, ‘Trends in long-stay admissions to a UK paediatric intensive care unit’ (2020) 105 Arch Dis Child 558.</w:t>
      </w:r>
    </w:p>
    <w:p w:rsidRPr="00D10A12" w:rsidR="00D10A12" w:rsidP="00D10A12" w:rsidRDefault="00D10A12" w14:paraId="6CA13890" w14:textId="77777777">
      <w:pPr>
        <w:rPr>
          <w:rFonts w:cstheme="minorHAnsi"/>
        </w:rPr>
      </w:pPr>
    </w:p>
    <w:p w:rsidR="00511494" w:rsidP="00D10A12" w:rsidRDefault="00511494" w14:paraId="483530CE" w14:textId="77777777">
      <w:pPr>
        <w:rPr>
          <w:rFonts w:cstheme="minorHAnsi"/>
        </w:rPr>
      </w:pPr>
      <w:r w:rsidRPr="00D10A12">
        <w:rPr>
          <w:rFonts w:cstheme="minorHAnsi"/>
        </w:rPr>
        <w:t>Katz NT, Hynson JL and Gillam L, ‘Dissonance in views between parents and clinicians of children with serious illness: How can we bridge the gap?’ (2021) 57 Journal of Paediatrics and Child Health 1370.</w:t>
      </w:r>
    </w:p>
    <w:p w:rsidRPr="00D10A12" w:rsidR="00D10A12" w:rsidP="00D10A12" w:rsidRDefault="00D10A12" w14:paraId="2F1CF227" w14:textId="77777777">
      <w:pPr>
        <w:rPr>
          <w:rFonts w:cstheme="minorHAnsi"/>
        </w:rPr>
      </w:pPr>
    </w:p>
    <w:p w:rsidR="00511494" w:rsidP="00D10A12" w:rsidRDefault="00511494" w14:paraId="3B9E2095" w14:textId="77777777">
      <w:pPr>
        <w:rPr>
          <w:rFonts w:cstheme="minorHAnsi"/>
        </w:rPr>
      </w:pPr>
      <w:r w:rsidRPr="00D10A12">
        <w:rPr>
          <w:rFonts w:cstheme="minorHAnsi"/>
        </w:rPr>
        <w:t>Kayser JB et al, ‘Conflict Management in the ICU’ (2020) 48(9) Crit Care Med 1349.</w:t>
      </w:r>
    </w:p>
    <w:p w:rsidRPr="00D10A12" w:rsidR="00D10A12" w:rsidP="00D10A12" w:rsidRDefault="00D10A12" w14:paraId="20858549" w14:textId="77777777">
      <w:pPr>
        <w:rPr>
          <w:rFonts w:cstheme="minorHAnsi"/>
        </w:rPr>
      </w:pPr>
    </w:p>
    <w:p w:rsidR="00511494" w:rsidP="00D10A12" w:rsidRDefault="00511494" w14:paraId="3C54D47D" w14:textId="77777777">
      <w:pPr>
        <w:rPr>
          <w:rFonts w:cstheme="minorHAnsi"/>
        </w:rPr>
      </w:pPr>
      <w:r w:rsidRPr="00D10A12">
        <w:rPr>
          <w:rFonts w:cstheme="minorHAnsi"/>
        </w:rPr>
        <w:t>Koch A et al, ‘Multiple roles of parental caregivers of children with complex life-threatening conditions: A Qualitative Descriptive Analysis’(2022) 61 Journal of Pediatric Nursing 67.</w:t>
      </w:r>
    </w:p>
    <w:p w:rsidRPr="00D10A12" w:rsidR="00D10A12" w:rsidP="00D10A12" w:rsidRDefault="00D10A12" w14:paraId="50E583FD" w14:textId="77777777">
      <w:pPr>
        <w:rPr>
          <w:rFonts w:cstheme="minorHAnsi"/>
        </w:rPr>
      </w:pPr>
    </w:p>
    <w:p w:rsidR="00511494" w:rsidP="00D10A12" w:rsidRDefault="00511494" w14:paraId="1D688984" w14:textId="77777777">
      <w:pPr>
        <w:rPr>
          <w:rFonts w:cstheme="minorHAnsi"/>
        </w:rPr>
      </w:pPr>
      <w:r w:rsidRPr="00D10A12">
        <w:rPr>
          <w:rFonts w:cstheme="minorHAnsi"/>
        </w:rPr>
        <w:t>Larcher V et al, ‘Medical Innovation in a Children’s Hospital:</w:t>
      </w:r>
      <w:r w:rsidRPr="00D10A12">
        <w:rPr>
          <w:rFonts w:cstheme="minorHAnsi"/>
          <w:i/>
          <w:iCs/>
        </w:rPr>
        <w:t xml:space="preserve"> Diseases desperate grown by desperate appliance are relieved, or not at all’ </w:t>
      </w:r>
      <w:r w:rsidRPr="00D10A12">
        <w:rPr>
          <w:rFonts w:cstheme="minorHAnsi"/>
        </w:rPr>
        <w:t>(2018) 32 Bioethics 36.</w:t>
      </w:r>
    </w:p>
    <w:p w:rsidRPr="00D10A12" w:rsidR="00D10A12" w:rsidP="00D10A12" w:rsidRDefault="00D10A12" w14:paraId="36C53CF3" w14:textId="77777777">
      <w:pPr>
        <w:rPr>
          <w:rFonts w:cstheme="minorHAnsi"/>
        </w:rPr>
      </w:pPr>
    </w:p>
    <w:p w:rsidR="00511494" w:rsidP="00D10A12" w:rsidRDefault="00511494" w14:paraId="4E705914" w14:textId="77777777">
      <w:pPr>
        <w:rPr>
          <w:rFonts w:cstheme="minorHAnsi"/>
        </w:rPr>
      </w:pPr>
      <w:r w:rsidRPr="00D10A12">
        <w:rPr>
          <w:rFonts w:cstheme="minorHAnsi"/>
        </w:rPr>
        <w:t>Lawrence P et al, ‘The relationship of parental health literacy to health outcomes of children with medical complexity’ (2021) 60 Journal of Pediatric Nursing 65.</w:t>
      </w:r>
    </w:p>
    <w:p w:rsidRPr="00D10A12" w:rsidR="00D10A12" w:rsidP="00D10A12" w:rsidRDefault="00D10A12" w14:paraId="2F6AB2BC" w14:textId="77777777">
      <w:pPr>
        <w:rPr>
          <w:rFonts w:cstheme="minorHAnsi"/>
        </w:rPr>
      </w:pPr>
    </w:p>
    <w:p w:rsidR="00511494" w:rsidP="00D10A12" w:rsidRDefault="00511494" w14:paraId="47164316" w14:textId="77777777">
      <w:pPr>
        <w:rPr>
          <w:rFonts w:cstheme="minorHAnsi"/>
        </w:rPr>
      </w:pPr>
      <w:r w:rsidRPr="00D10A12">
        <w:rPr>
          <w:rFonts w:cstheme="minorHAnsi"/>
        </w:rPr>
        <w:t>Lewis A, ‘An overview of ethical issues raised by medicolegal challenges to death by neurological criteria in the United Kingdom and a comparison to management of these challenges in the USA’ (2023) The American Journal of Bioethics doi:10.1080/15265161.2022.2160516.</w:t>
      </w:r>
    </w:p>
    <w:p w:rsidRPr="00D10A12" w:rsidR="00D10A12" w:rsidP="00D10A12" w:rsidRDefault="00D10A12" w14:paraId="5B2481E1" w14:textId="77777777">
      <w:pPr>
        <w:rPr>
          <w:rFonts w:cstheme="minorHAnsi"/>
        </w:rPr>
      </w:pPr>
    </w:p>
    <w:p w:rsidR="00511494" w:rsidP="00D10A12" w:rsidRDefault="00511494" w14:paraId="3C186F45" w14:textId="77777777">
      <w:pPr>
        <w:rPr>
          <w:rFonts w:cstheme="minorHAnsi"/>
        </w:rPr>
      </w:pPr>
      <w:r w:rsidRPr="00D10A12">
        <w:rPr>
          <w:rFonts w:cstheme="minorHAnsi"/>
        </w:rPr>
        <w:t>Linney M et al, ‘Achieving consensus advice for paediatricians and other health professionals: on prevention, recognition and management of conflict in paediatric practice’ (2019) 104 Arch Dis Child 413.</w:t>
      </w:r>
    </w:p>
    <w:p w:rsidRPr="00D10A12" w:rsidR="00D10A12" w:rsidP="00D10A12" w:rsidRDefault="00D10A12" w14:paraId="2B22DFC5" w14:textId="77777777">
      <w:pPr>
        <w:rPr>
          <w:rFonts w:cstheme="minorHAnsi"/>
        </w:rPr>
      </w:pPr>
    </w:p>
    <w:p w:rsidR="00511494" w:rsidP="00D10A12" w:rsidRDefault="00511494" w14:paraId="10718076" w14:textId="77777777">
      <w:pPr>
        <w:rPr>
          <w:rFonts w:cstheme="minorHAnsi"/>
        </w:rPr>
      </w:pPr>
      <w:r w:rsidRPr="00D10A12">
        <w:rPr>
          <w:rFonts w:cstheme="minorHAnsi"/>
        </w:rPr>
        <w:t>Lyons O et al, ‘Transforming training into practice with the conflict management framework: A mixed methods study’ (2021) 5(1) BMJ Paediatr Open e001088.</w:t>
      </w:r>
    </w:p>
    <w:p w:rsidRPr="00D10A12" w:rsidR="00D10A12" w:rsidP="00D10A12" w:rsidRDefault="00D10A12" w14:paraId="3E3808A4" w14:textId="77777777">
      <w:pPr>
        <w:rPr>
          <w:rFonts w:cstheme="minorHAnsi"/>
        </w:rPr>
      </w:pPr>
    </w:p>
    <w:p w:rsidRPr="00D10A12" w:rsidR="00511494" w:rsidP="00D10A12" w:rsidRDefault="00511494" w14:paraId="6D59F2E6" w14:textId="77777777">
      <w:pPr>
        <w:rPr>
          <w:rFonts w:cstheme="minorHAnsi"/>
        </w:rPr>
      </w:pPr>
      <w:r w:rsidRPr="00D10A12">
        <w:rPr>
          <w:rFonts w:cstheme="minorHAnsi"/>
        </w:rPr>
        <w:t>Macintosh K and McConnell P, ‘Parent and medical team disagreements in the UK: universal lessons in the origins and resolution of conflict’ (2022) 2(47) J Anesth Analg Crit Care 1.</w:t>
      </w:r>
    </w:p>
    <w:p w:rsidRPr="00D10A12" w:rsidR="00511494" w:rsidP="00D10A12" w:rsidRDefault="00511494" w14:paraId="2EC85F10" w14:textId="77777777">
      <w:pPr>
        <w:rPr>
          <w:rFonts w:cstheme="minorHAnsi"/>
        </w:rPr>
      </w:pPr>
      <w:r w:rsidRPr="00D10A12">
        <w:rPr>
          <w:rFonts w:cstheme="minorHAnsi"/>
        </w:rPr>
        <w:t>Mellis C, ‘The tragic story of Archie Battersbee’ (2022) 58 Journal of Paediatrics and Child Health 1908.</w:t>
      </w:r>
    </w:p>
    <w:p w:rsidRPr="00D10A12" w:rsidR="00D10A12" w:rsidP="00D10A12" w:rsidRDefault="00D10A12" w14:paraId="33235A11" w14:textId="77777777">
      <w:pPr>
        <w:rPr>
          <w:rFonts w:cstheme="minorHAnsi"/>
        </w:rPr>
      </w:pPr>
    </w:p>
    <w:p w:rsidRPr="00D10A12" w:rsidR="00511494" w:rsidP="00D10A12" w:rsidRDefault="00511494" w14:paraId="57F3A5E1" w14:textId="77777777">
      <w:pPr>
        <w:rPr>
          <w:rFonts w:cstheme="minorHAnsi"/>
        </w:rPr>
      </w:pPr>
      <w:r w:rsidRPr="00D10A12">
        <w:rPr>
          <w:rFonts w:cstheme="minorHAnsi"/>
        </w:rPr>
        <w:t>Mir FA, ‘Reflecting on conflict between healthcare professionals and families of critically ill children’ (2022) 379 BMJ(Online) 2735.</w:t>
      </w:r>
    </w:p>
    <w:p w:rsidRPr="00D10A12" w:rsidR="00D10A12" w:rsidP="00D10A12" w:rsidRDefault="00D10A12" w14:paraId="1B318ED7" w14:textId="77777777">
      <w:pPr>
        <w:rPr>
          <w:rFonts w:cstheme="minorHAnsi"/>
        </w:rPr>
      </w:pPr>
    </w:p>
    <w:p w:rsidRPr="00D10A12" w:rsidR="00511494" w:rsidP="00D10A12" w:rsidRDefault="00511494" w14:paraId="392F8400" w14:textId="77777777">
      <w:pPr>
        <w:rPr>
          <w:rFonts w:cstheme="minorHAnsi"/>
        </w:rPr>
      </w:pPr>
      <w:r w:rsidRPr="00D10A12">
        <w:rPr>
          <w:rFonts w:cstheme="minorHAnsi"/>
        </w:rPr>
        <w:t>Montgomery J, ‘The Tragedy of Charlie Gard’ (2019) 11 Law, Innovation and Technology 155.</w:t>
      </w:r>
    </w:p>
    <w:p w:rsidR="00511494" w:rsidP="00D10A12" w:rsidRDefault="00511494" w14:paraId="6EE7D6FA" w14:textId="77777777">
      <w:pPr>
        <w:rPr>
          <w:rFonts w:cstheme="minorHAnsi"/>
        </w:rPr>
      </w:pPr>
      <w:r w:rsidRPr="00D10A12">
        <w:rPr>
          <w:rFonts w:cstheme="minorHAnsi"/>
        </w:rPr>
        <w:t xml:space="preserve">Mooney-Doyle K and Ulrich CM, ‘Parent moral distress in serious pediatric illness: A dimensional analysis’ (2020) 27(3) Nursing Ethics 821. </w:t>
      </w:r>
    </w:p>
    <w:p w:rsidRPr="00D10A12" w:rsidR="00D10A12" w:rsidP="00D10A12" w:rsidRDefault="00D10A12" w14:paraId="15E7195F" w14:textId="77777777">
      <w:pPr>
        <w:rPr>
          <w:rFonts w:cstheme="minorHAnsi"/>
        </w:rPr>
      </w:pPr>
    </w:p>
    <w:p w:rsidR="00D10A12" w:rsidP="00D10A12" w:rsidRDefault="00511494" w14:paraId="3847D573" w14:textId="77777777">
      <w:pPr>
        <w:rPr>
          <w:rFonts w:cstheme="minorHAnsi"/>
        </w:rPr>
      </w:pPr>
      <w:r w:rsidRPr="00D10A12">
        <w:rPr>
          <w:rFonts w:cstheme="minorHAnsi"/>
        </w:rPr>
        <w:t>Moore B, ‘The Fraught Notion of a “Good Death” in Pediatrics’ (2023) 48 The Journal of Medicine and Philosophy: A Forum for Bioethics and Philosophy of Medicine 60.</w:t>
      </w:r>
    </w:p>
    <w:p w:rsidRPr="00D10A12" w:rsidR="00D10A12" w:rsidP="00D10A12" w:rsidRDefault="00D10A12" w14:paraId="6B79C2C7" w14:textId="77777777">
      <w:pPr>
        <w:rPr>
          <w:rFonts w:cstheme="minorHAnsi"/>
        </w:rPr>
      </w:pPr>
    </w:p>
    <w:p w:rsidR="00511494" w:rsidP="00D10A12" w:rsidRDefault="00511494" w14:paraId="60C45C57" w14:textId="38F8B516">
      <w:pPr>
        <w:rPr>
          <w:rFonts w:cstheme="minorHAnsi"/>
        </w:rPr>
      </w:pPr>
      <w:r w:rsidRPr="00D10A12">
        <w:rPr>
          <w:rFonts w:cstheme="minorHAnsi"/>
        </w:rPr>
        <w:t>Moreton KL, ‘Reflecting on “Hannah’s Choice”: Using the Ethics of Care to justify child participation in end-of-life decision-making’ (2020) 28(1) Medical Law Review 124.</w:t>
      </w:r>
      <w:r w:rsidRPr="00D10A12">
        <w:rPr>
          <w:rFonts w:cstheme="minorHAnsi"/>
        </w:rPr>
        <w:tab/>
      </w:r>
    </w:p>
    <w:p w:rsidRPr="00D10A12" w:rsidR="00D10A12" w:rsidP="00D10A12" w:rsidRDefault="00D10A12" w14:paraId="55F6009D" w14:textId="77777777">
      <w:pPr>
        <w:rPr>
          <w:rFonts w:cstheme="minorHAnsi"/>
        </w:rPr>
      </w:pPr>
    </w:p>
    <w:p w:rsidR="00511494" w:rsidP="00D10A12" w:rsidRDefault="00511494" w14:paraId="68177189" w14:textId="77777777">
      <w:pPr>
        <w:rPr>
          <w:rFonts w:cstheme="minorHAnsi"/>
        </w:rPr>
      </w:pPr>
      <w:r w:rsidRPr="00D10A12">
        <w:rPr>
          <w:rFonts w:cstheme="minorHAnsi"/>
        </w:rPr>
        <w:t>Nair T et al, ‘Settling for second best: When should doctors agree to parental demands for suboptimal medical treatment?’ (2017) 43(12) J Med Ethics 831.</w:t>
      </w:r>
    </w:p>
    <w:p w:rsidRPr="00D10A12" w:rsidR="00D10A12" w:rsidP="00D10A12" w:rsidRDefault="00D10A12" w14:paraId="7CED3EF6" w14:textId="77777777">
      <w:pPr>
        <w:rPr>
          <w:rFonts w:cstheme="minorHAnsi"/>
        </w:rPr>
      </w:pPr>
    </w:p>
    <w:p w:rsidR="00511494" w:rsidP="00D10A12" w:rsidRDefault="00511494" w14:paraId="666B7F3E" w14:textId="77777777">
      <w:pPr>
        <w:rPr>
          <w:rFonts w:cstheme="minorHAnsi"/>
        </w:rPr>
      </w:pPr>
      <w:r w:rsidRPr="00D10A12">
        <w:rPr>
          <w:rFonts w:cstheme="minorHAnsi"/>
        </w:rPr>
        <w:t>Nicholson E et al, ‘Factors that influence family and parental preferences and decision-making for unscheduled paediatric healthcare – systematic review’ (2020) 20 BMC Health Services Research 663.</w:t>
      </w:r>
    </w:p>
    <w:p w:rsidRPr="00D10A12" w:rsidR="00D10A12" w:rsidP="00D10A12" w:rsidRDefault="00D10A12" w14:paraId="6233888C" w14:textId="77777777">
      <w:pPr>
        <w:rPr>
          <w:rFonts w:cstheme="minorHAnsi"/>
        </w:rPr>
      </w:pPr>
    </w:p>
    <w:p w:rsidR="00511494" w:rsidP="00D10A12" w:rsidRDefault="00511494" w14:paraId="44FD4BA2" w14:textId="77777777">
      <w:pPr>
        <w:rPr>
          <w:rFonts w:cstheme="minorHAnsi"/>
        </w:rPr>
      </w:pPr>
      <w:r w:rsidRPr="00D10A12">
        <w:rPr>
          <w:rFonts w:cstheme="minorHAnsi"/>
        </w:rPr>
        <w:t>Pearce L, ‘Social Media: When mob mentality takes over and nurses turn on nurses’ (2019) 34(10) Nursing Standard 42.</w:t>
      </w:r>
    </w:p>
    <w:p w:rsidRPr="00D10A12" w:rsidR="00D10A12" w:rsidP="00D10A12" w:rsidRDefault="00D10A12" w14:paraId="19E70F47" w14:textId="77777777">
      <w:pPr>
        <w:rPr>
          <w:rFonts w:cstheme="minorHAnsi"/>
        </w:rPr>
      </w:pPr>
    </w:p>
    <w:p w:rsidR="00511494" w:rsidP="00D10A12" w:rsidRDefault="00511494" w14:paraId="444B6516" w14:textId="77777777">
      <w:pPr>
        <w:rPr>
          <w:rFonts w:cstheme="minorHAnsi"/>
        </w:rPr>
      </w:pPr>
      <w:r w:rsidRPr="00D10A12">
        <w:rPr>
          <w:rFonts w:cstheme="minorHAnsi"/>
        </w:rPr>
        <w:t>Plunkett A and Parslow RC, ‘Is it taking longer to die in paediatric intensive care in England and Wales’ (2016) 101(9) Arch Dis Child 798.</w:t>
      </w:r>
    </w:p>
    <w:p w:rsidRPr="00D10A12" w:rsidR="00D10A12" w:rsidP="00D10A12" w:rsidRDefault="00D10A12" w14:paraId="0B9F9533" w14:textId="77777777">
      <w:pPr>
        <w:rPr>
          <w:rFonts w:cstheme="minorHAnsi"/>
        </w:rPr>
      </w:pPr>
    </w:p>
    <w:p w:rsidR="00511494" w:rsidP="00D10A12" w:rsidRDefault="00511494" w14:paraId="1B71D1AA" w14:textId="77777777">
      <w:pPr>
        <w:rPr>
          <w:rFonts w:cstheme="minorHAnsi"/>
        </w:rPr>
      </w:pPr>
      <w:r w:rsidRPr="00D10A12">
        <w:rPr>
          <w:rFonts w:cstheme="minorHAnsi"/>
        </w:rPr>
        <w:t>Preisz A et al, ‘Defining the role of facilitated mediation in medical treatment decision-making for critically-ill children in the Australian clinical context’ (25 September 2022) Clinical Ethics doi.org/10.1177/14777509221 125340</w:t>
      </w:r>
    </w:p>
    <w:p w:rsidRPr="00D10A12" w:rsidR="00D10A12" w:rsidP="00D10A12" w:rsidRDefault="00D10A12" w14:paraId="15C4CAE5" w14:textId="77777777">
      <w:pPr>
        <w:rPr>
          <w:rFonts w:cstheme="minorHAnsi"/>
        </w:rPr>
      </w:pPr>
    </w:p>
    <w:p w:rsidR="00511494" w:rsidP="00D10A12" w:rsidRDefault="00511494" w14:paraId="788523F9" w14:textId="77777777">
      <w:pPr>
        <w:rPr>
          <w:rFonts w:cstheme="minorHAnsi"/>
        </w:rPr>
      </w:pPr>
      <w:r w:rsidRPr="00D10A12">
        <w:rPr>
          <w:rFonts w:cstheme="minorHAnsi"/>
        </w:rPr>
        <w:t>Pruski M, ‘Alta Fixsler: Medico-Legal Paternalism in UK Paediatric Best Interest Decisions’ (2022) 37(1) Issues in Law &amp; Medicine 81.</w:t>
      </w:r>
    </w:p>
    <w:p w:rsidRPr="00D10A12" w:rsidR="00D10A12" w:rsidP="00D10A12" w:rsidRDefault="00D10A12" w14:paraId="10151627" w14:textId="77777777">
      <w:pPr>
        <w:rPr>
          <w:rFonts w:cstheme="minorHAnsi"/>
        </w:rPr>
      </w:pPr>
    </w:p>
    <w:p w:rsidR="00511494" w:rsidP="00D10A12" w:rsidRDefault="00511494" w14:paraId="26C1F0A9" w14:textId="77777777">
      <w:pPr>
        <w:rPr>
          <w:rFonts w:cstheme="minorHAnsi"/>
        </w:rPr>
      </w:pPr>
      <w:r w:rsidRPr="00D10A12">
        <w:rPr>
          <w:rFonts w:cstheme="minorHAnsi"/>
        </w:rPr>
        <w:t>Richards C et al, ‘Physicians perceptions of shared decision-making in neonatal and pediatric critical care’ (2018) 35(4) American Journal of Hospice and Palliative Medicine 669.</w:t>
      </w:r>
    </w:p>
    <w:p w:rsidRPr="00D10A12" w:rsidR="00D10A12" w:rsidP="00D10A12" w:rsidRDefault="00D10A12" w14:paraId="4F9AB63B" w14:textId="77777777">
      <w:pPr>
        <w:rPr>
          <w:rFonts w:cstheme="minorHAnsi"/>
        </w:rPr>
      </w:pPr>
    </w:p>
    <w:p w:rsidR="00511494" w:rsidP="00D10A12" w:rsidRDefault="00511494" w14:paraId="793A37C4" w14:textId="77777777">
      <w:pPr>
        <w:rPr>
          <w:rFonts w:cstheme="minorHAnsi"/>
        </w:rPr>
      </w:pPr>
      <w:r w:rsidRPr="00D10A12">
        <w:rPr>
          <w:rFonts w:cstheme="minorHAnsi"/>
        </w:rPr>
        <w:t>Sokel D, ‘Ethics of Emergency Bedside Medicine’ (2019) BMJ 364.</w:t>
      </w:r>
    </w:p>
    <w:p w:rsidRPr="00D10A12" w:rsidR="00D10A12" w:rsidP="00D10A12" w:rsidRDefault="00D10A12" w14:paraId="2D82BD30" w14:textId="77777777">
      <w:pPr>
        <w:rPr>
          <w:rFonts w:cstheme="minorHAnsi"/>
        </w:rPr>
      </w:pPr>
    </w:p>
    <w:p w:rsidR="00511494" w:rsidP="00D10A12" w:rsidRDefault="00511494" w14:paraId="497A5922" w14:textId="77777777">
      <w:pPr>
        <w:rPr>
          <w:rFonts w:cstheme="minorHAnsi"/>
        </w:rPr>
      </w:pPr>
      <w:r w:rsidRPr="00D10A12">
        <w:rPr>
          <w:rFonts w:cstheme="minorHAnsi"/>
        </w:rPr>
        <w:t>Sokel D, ‘An ethicist’s view on the Archie Battersbee case: a bad situation made worse’ (2022) 378 BMJ o1980.</w:t>
      </w:r>
    </w:p>
    <w:p w:rsidRPr="00D10A12" w:rsidR="00D10A12" w:rsidP="00D10A12" w:rsidRDefault="00D10A12" w14:paraId="2EA6DFAD" w14:textId="77777777">
      <w:pPr>
        <w:rPr>
          <w:rFonts w:cstheme="minorHAnsi"/>
        </w:rPr>
      </w:pPr>
    </w:p>
    <w:p w:rsidR="00511494" w:rsidP="00D10A12" w:rsidRDefault="00511494" w14:paraId="75BA3BCC" w14:textId="77777777">
      <w:pPr>
        <w:rPr>
          <w:rFonts w:cstheme="minorHAnsi"/>
        </w:rPr>
      </w:pPr>
      <w:r w:rsidRPr="00D10A12">
        <w:rPr>
          <w:rFonts w:cstheme="minorHAnsi"/>
        </w:rPr>
        <w:t>Sorbie A, ‘Children’s best interests and parents’ views: Challenges from medical law’ (2021) 43 J Soc Welf Fam Law 23.</w:t>
      </w:r>
    </w:p>
    <w:p w:rsidRPr="00D10A12" w:rsidR="00D10A12" w:rsidP="00D10A12" w:rsidRDefault="00D10A12" w14:paraId="695E2F40" w14:textId="77777777">
      <w:pPr>
        <w:rPr>
          <w:rFonts w:cstheme="minorHAnsi"/>
        </w:rPr>
      </w:pPr>
    </w:p>
    <w:p w:rsidRPr="00D10A12" w:rsidR="00511494" w:rsidP="00D10A12" w:rsidRDefault="00511494" w14:paraId="04950822" w14:textId="77777777">
      <w:pPr>
        <w:rPr>
          <w:rFonts w:cstheme="minorHAnsi"/>
        </w:rPr>
      </w:pPr>
      <w:r w:rsidRPr="00D10A12">
        <w:rPr>
          <w:rFonts w:cstheme="minorHAnsi"/>
        </w:rPr>
        <w:t>Spijkers AS et al, ’How doctors manage conflicts with families of critically ill patients during conversations about end of life decisions in neonatal, pediatric and adult intensive care’ (2022) 48(7) Intensive Care Med 910.</w:t>
      </w:r>
    </w:p>
    <w:p w:rsidR="00511494" w:rsidP="00D10A12" w:rsidRDefault="00511494" w14:paraId="6465C01D" w14:textId="7965F683">
      <w:pPr>
        <w:rPr>
          <w:rFonts w:cstheme="minorHAnsi"/>
        </w:rPr>
      </w:pPr>
      <w:r w:rsidRPr="00D10A12">
        <w:rPr>
          <w:rFonts w:cstheme="minorHAnsi"/>
        </w:rPr>
        <w:t>SW, ‘Individualised claims of Conscience, Clinical Judgement and Best Interests’ (2018) 26 Health Care Analysis 81.</w:t>
      </w:r>
    </w:p>
    <w:p w:rsidRPr="00D10A12" w:rsidR="00D10A12" w:rsidP="00D10A12" w:rsidRDefault="00D10A12" w14:paraId="219C733A" w14:textId="77777777">
      <w:pPr>
        <w:rPr>
          <w:rFonts w:cstheme="minorHAnsi"/>
        </w:rPr>
      </w:pPr>
    </w:p>
    <w:p w:rsidR="00511494" w:rsidP="00D10A12" w:rsidRDefault="00511494" w14:paraId="2E88087B" w14:textId="77777777">
      <w:pPr>
        <w:rPr>
          <w:rFonts w:cstheme="minorHAnsi"/>
        </w:rPr>
      </w:pPr>
      <w:r w:rsidRPr="00D10A12">
        <w:rPr>
          <w:rFonts w:cstheme="minorHAnsi"/>
        </w:rPr>
        <w:t>Stremler R et al, ‘Psychological outcomes in parents of critically ill hospitalized children’ (2017) 34 Pediatric Nursing 36.</w:t>
      </w:r>
    </w:p>
    <w:p w:rsidRPr="00D10A12" w:rsidR="00D10A12" w:rsidP="00D10A12" w:rsidRDefault="00D10A12" w14:paraId="555073EC" w14:textId="77777777">
      <w:pPr>
        <w:rPr>
          <w:rFonts w:cstheme="minorHAnsi"/>
        </w:rPr>
      </w:pPr>
    </w:p>
    <w:p w:rsidR="00511494" w:rsidP="00D10A12" w:rsidRDefault="00511494" w14:paraId="33BA1866" w14:textId="77777777">
      <w:pPr>
        <w:rPr>
          <w:rFonts w:cstheme="minorHAnsi"/>
        </w:rPr>
      </w:pPr>
      <w:r w:rsidRPr="00D10A12">
        <w:rPr>
          <w:rFonts w:cstheme="minorHAnsi"/>
        </w:rPr>
        <w:t>Streuli JC et al, ‘Combining the best interest standard with shared decision-making in paediatrics – introducing the shared optimum approach based on a qualitative study’ (2021) 180 Eur J Pediatr 759.</w:t>
      </w:r>
    </w:p>
    <w:p w:rsidRPr="00D10A12" w:rsidR="00D10A12" w:rsidP="00D10A12" w:rsidRDefault="00D10A12" w14:paraId="50B72C86" w14:textId="77777777">
      <w:pPr>
        <w:rPr>
          <w:rFonts w:cstheme="minorHAnsi"/>
        </w:rPr>
      </w:pPr>
    </w:p>
    <w:p w:rsidRPr="0096335E" w:rsidR="00511494" w:rsidP="00D10A12" w:rsidRDefault="00511494" w14:paraId="0546C000" w14:textId="77777777">
      <w:pPr>
        <w:rPr>
          <w:rFonts w:cstheme="minorHAnsi"/>
        </w:rPr>
      </w:pPr>
      <w:r w:rsidRPr="0096335E">
        <w:rPr>
          <w:rFonts w:cstheme="minorHAnsi"/>
        </w:rPr>
        <w:t>Superdock AK et al, ‘Exploring the vagueness of religion and spirituality in complex pediatric decision-making: A qualitative study’ (2018) 17 BMC Palliative Care 107.</w:t>
      </w:r>
    </w:p>
    <w:p w:rsidRPr="0096335E" w:rsidR="00D10A12" w:rsidP="00D10A12" w:rsidRDefault="00D10A12" w14:paraId="49A47762" w14:textId="77777777">
      <w:pPr>
        <w:rPr>
          <w:rFonts w:cstheme="minorHAnsi"/>
        </w:rPr>
      </w:pPr>
    </w:p>
    <w:p w:rsidRPr="0096335E" w:rsidR="00511494" w:rsidP="00D10A12" w:rsidRDefault="00511494" w14:paraId="0640634C" w14:textId="77777777">
      <w:pPr>
        <w:rPr>
          <w:rFonts w:cstheme="minorHAnsi"/>
        </w:rPr>
      </w:pPr>
      <w:r w:rsidRPr="0096335E">
        <w:rPr>
          <w:rFonts w:cstheme="minorHAnsi"/>
        </w:rPr>
        <w:t>Teuten BJ, Forbat E &amp; Barclay SF, ‘The Conflict Pathway: A model to address conflict in paediatric practice’ (2012) 97 (Supp 1) Arch Dis Child A5.</w:t>
      </w:r>
    </w:p>
    <w:p w:rsidRPr="0096335E" w:rsidR="00D10A12" w:rsidP="00D10A12" w:rsidRDefault="00D10A12" w14:paraId="127968D4" w14:textId="77777777">
      <w:pPr>
        <w:rPr>
          <w:rFonts w:cstheme="minorHAnsi"/>
        </w:rPr>
      </w:pPr>
    </w:p>
    <w:p w:rsidR="00511494" w:rsidP="0096335E" w:rsidRDefault="00511494" w14:paraId="6F2DFCED" w14:textId="77777777">
      <w:pPr>
        <w:rPr>
          <w:rFonts w:cstheme="minorHAnsi"/>
        </w:rPr>
      </w:pPr>
      <w:r w:rsidRPr="0096335E">
        <w:rPr>
          <w:rFonts w:cstheme="minorHAnsi"/>
        </w:rPr>
        <w:t>Venter B et al, ‘Teenager and the transplant: How the case of William Verden highlights action is needed to optimise equitable access to organs for patients with impaired decision-making’ (2023) Journal of Medical Ethics. First published online 14 March 2023. Doi:10.1136/jme-2022-108746.</w:t>
      </w:r>
    </w:p>
    <w:p w:rsidRPr="0096335E" w:rsidR="0096335E" w:rsidP="0096335E" w:rsidRDefault="0096335E" w14:paraId="27DB1E76" w14:textId="77777777">
      <w:pPr>
        <w:rPr>
          <w:rFonts w:cstheme="minorHAnsi"/>
        </w:rPr>
      </w:pPr>
    </w:p>
    <w:p w:rsidR="00511494" w:rsidP="0096335E" w:rsidRDefault="00511494" w14:paraId="524CF147" w14:textId="77777777">
      <w:pPr>
        <w:rPr>
          <w:rFonts w:cstheme="minorHAnsi"/>
        </w:rPr>
      </w:pPr>
      <w:r w:rsidRPr="0096335E">
        <w:rPr>
          <w:rFonts w:cstheme="minorHAnsi"/>
        </w:rPr>
        <w:t>Wallis C, ‘When Paediatricians and families can’t agree’ (2018) 103(5) Arch Dis Child 413.</w:t>
      </w:r>
    </w:p>
    <w:p w:rsidRPr="0096335E" w:rsidR="0096335E" w:rsidP="0096335E" w:rsidRDefault="0096335E" w14:paraId="6B729788" w14:textId="77777777">
      <w:pPr>
        <w:rPr>
          <w:rFonts w:cstheme="minorHAnsi"/>
        </w:rPr>
      </w:pPr>
    </w:p>
    <w:p w:rsidR="00511494" w:rsidP="0096335E" w:rsidRDefault="00511494" w14:paraId="6CD12142" w14:textId="77777777">
      <w:pPr>
        <w:rPr>
          <w:rFonts w:cstheme="minorHAnsi"/>
        </w:rPr>
      </w:pPr>
      <w:r w:rsidRPr="0096335E">
        <w:rPr>
          <w:rFonts w:cstheme="minorHAnsi"/>
        </w:rPr>
        <w:t>Ward P, ‘Trust and Communication in a Doctor-Patient Relationship: A Literature Review’ (2018) 3 Arch Med 36.</w:t>
      </w:r>
    </w:p>
    <w:p w:rsidRPr="0096335E" w:rsidR="0096335E" w:rsidP="0096335E" w:rsidRDefault="0096335E" w14:paraId="09D341C9" w14:textId="77777777">
      <w:pPr>
        <w:rPr>
          <w:rFonts w:cstheme="minorHAnsi"/>
        </w:rPr>
      </w:pPr>
    </w:p>
    <w:p w:rsidR="00511494" w:rsidP="0096335E" w:rsidRDefault="00511494" w14:paraId="2DF5D378" w14:textId="77777777">
      <w:pPr>
        <w:rPr>
          <w:rFonts w:cstheme="minorHAnsi"/>
        </w:rPr>
      </w:pPr>
      <w:r w:rsidRPr="0096335E">
        <w:rPr>
          <w:rFonts w:cstheme="minorHAnsi"/>
        </w:rPr>
        <w:t>Weaver MS et al, ‘”Good Parent Beliefs”: Research, Concept and Clinical Practice’ (2020) 145 Paediatrics e20194018.</w:t>
      </w:r>
    </w:p>
    <w:p w:rsidRPr="0096335E" w:rsidR="0096335E" w:rsidP="0096335E" w:rsidRDefault="0096335E" w14:paraId="017E8F45" w14:textId="77777777">
      <w:pPr>
        <w:rPr>
          <w:rFonts w:cstheme="minorHAnsi"/>
        </w:rPr>
      </w:pPr>
    </w:p>
    <w:p w:rsidR="00511494" w:rsidP="0096335E" w:rsidRDefault="00511494" w14:paraId="4ABE6B0D" w14:textId="77777777">
      <w:pPr>
        <w:rPr>
          <w:rFonts w:cstheme="minorHAnsi"/>
        </w:rPr>
      </w:pPr>
      <w:r w:rsidRPr="0096335E">
        <w:rPr>
          <w:rFonts w:cstheme="minorHAnsi"/>
        </w:rPr>
        <w:t>Wheeler R, ‘Pippa Knight: Opening a Door to Dignity?’ (2021) 98 RCS Bulletin 268.</w:t>
      </w:r>
    </w:p>
    <w:p w:rsidRPr="0096335E" w:rsidR="0096335E" w:rsidP="0096335E" w:rsidRDefault="0096335E" w14:paraId="2B18AD3B" w14:textId="77777777">
      <w:pPr>
        <w:rPr>
          <w:rFonts w:cstheme="minorHAnsi"/>
        </w:rPr>
      </w:pPr>
    </w:p>
    <w:p w:rsidR="00511494" w:rsidP="0096335E" w:rsidRDefault="00511494" w14:paraId="061D9E01" w14:textId="77777777">
      <w:pPr>
        <w:rPr>
          <w:rFonts w:cstheme="minorHAnsi"/>
        </w:rPr>
      </w:pPr>
      <w:r w:rsidRPr="0096335E">
        <w:rPr>
          <w:rFonts w:cstheme="minorHAnsi"/>
        </w:rPr>
        <w:t>Wilkinson D and Nair T, ‘Harm isn’t all you need: parental discretion and medical decisions for a child’ (2016)42(2) Journal of Medical Ethics 116.</w:t>
      </w:r>
    </w:p>
    <w:p w:rsidRPr="0096335E" w:rsidR="0096335E" w:rsidP="0096335E" w:rsidRDefault="0096335E" w14:paraId="49800650" w14:textId="77777777">
      <w:pPr>
        <w:rPr>
          <w:rFonts w:cstheme="minorHAnsi"/>
        </w:rPr>
      </w:pPr>
    </w:p>
    <w:p w:rsidR="00511494" w:rsidP="0096335E" w:rsidRDefault="00511494" w14:paraId="39433C65" w14:textId="77777777">
      <w:pPr>
        <w:rPr>
          <w:rFonts w:cstheme="minorHAnsi"/>
        </w:rPr>
      </w:pPr>
      <w:r w:rsidRPr="0096335E">
        <w:rPr>
          <w:rFonts w:cstheme="minorHAnsi"/>
        </w:rPr>
        <w:t>Wilkinson D, ‘Disagreement, Mediation, Arbitration: Resolving disputes about medical treatment’ (2018) 391 The Lancet 2302.</w:t>
      </w:r>
    </w:p>
    <w:p w:rsidRPr="0096335E" w:rsidR="0096335E" w:rsidP="0096335E" w:rsidRDefault="0096335E" w14:paraId="54ACFD74" w14:textId="77777777">
      <w:pPr>
        <w:rPr>
          <w:rFonts w:cstheme="minorHAnsi"/>
        </w:rPr>
      </w:pPr>
    </w:p>
    <w:p w:rsidR="00511494" w:rsidP="0096335E" w:rsidRDefault="00511494" w14:paraId="6370B2B9" w14:textId="77777777">
      <w:pPr>
        <w:rPr>
          <w:rFonts w:cstheme="minorHAnsi"/>
        </w:rPr>
      </w:pPr>
      <w:r w:rsidRPr="0096335E">
        <w:rPr>
          <w:rFonts w:cstheme="minorHAnsi"/>
        </w:rPr>
        <w:t>Wilkinson D, ‘Resolving conflict about treatment for seriously ill children’ (2022) 378 BMJ o2000</w:t>
      </w:r>
    </w:p>
    <w:p w:rsidRPr="0096335E" w:rsidR="0096335E" w:rsidP="0096335E" w:rsidRDefault="0096335E" w14:paraId="6A43238E" w14:textId="77777777">
      <w:pPr>
        <w:rPr>
          <w:rFonts w:cstheme="minorHAnsi"/>
        </w:rPr>
      </w:pPr>
    </w:p>
    <w:p w:rsidRPr="0096335E" w:rsidR="00511494" w:rsidP="0096335E" w:rsidRDefault="00511494" w14:paraId="758560B5" w14:textId="77777777">
      <w:pPr>
        <w:rPr>
          <w:rFonts w:cstheme="minorHAnsi"/>
        </w:rPr>
      </w:pPr>
      <w:r w:rsidRPr="0096335E">
        <w:rPr>
          <w:rFonts w:cstheme="minorHAnsi"/>
        </w:rPr>
        <w:t xml:space="preserve">Zimmerman A, ‘The trauma of disregard: Doing justice to parental healthcare values in conflicts in pediatric medical care’ (2021) 7 Voices in Bioethics 1. </w:t>
      </w:r>
    </w:p>
    <w:p w:rsidRPr="0096335E" w:rsidR="00511494" w:rsidP="0096335E" w:rsidRDefault="00511494" w14:paraId="18DC097A" w14:textId="77777777">
      <w:pPr>
        <w:pStyle w:val="ListParagraph"/>
        <w:ind w:left="360"/>
        <w:rPr>
          <w:rFonts w:cstheme="minorHAnsi"/>
        </w:rPr>
      </w:pPr>
    </w:p>
    <w:p w:rsidRPr="0096335E" w:rsidR="00511494" w:rsidP="0096335E" w:rsidRDefault="00511494" w14:paraId="4C643B67" w14:textId="77777777">
      <w:pPr>
        <w:rPr>
          <w:rFonts w:cstheme="minorHAnsi"/>
          <w:u w:val="single"/>
        </w:rPr>
      </w:pPr>
      <w:r w:rsidRPr="0096335E">
        <w:rPr>
          <w:rFonts w:cstheme="minorHAnsi"/>
          <w:u w:val="single"/>
        </w:rPr>
        <w:t>Reports and Reviews</w:t>
      </w:r>
    </w:p>
    <w:p w:rsidR="00511494" w:rsidP="0096335E" w:rsidRDefault="00511494" w14:paraId="3C47AD18" w14:textId="77777777">
      <w:pPr>
        <w:rPr>
          <w:rFonts w:cstheme="minorHAnsi"/>
        </w:rPr>
      </w:pPr>
      <w:r w:rsidRPr="0096335E">
        <w:rPr>
          <w:rFonts w:cstheme="minorHAnsi"/>
        </w:rPr>
        <w:t xml:space="preserve">Austin L, </w:t>
      </w:r>
      <w:r w:rsidRPr="0096335E">
        <w:rPr>
          <w:rFonts w:cstheme="minorHAnsi"/>
          <w:i/>
          <w:iCs/>
        </w:rPr>
        <w:t xml:space="preserve">UK Processes for resolution of disagreements about the care of critically ill children </w:t>
      </w:r>
      <w:r w:rsidRPr="0096335E">
        <w:rPr>
          <w:rFonts w:cstheme="minorHAnsi"/>
        </w:rPr>
        <w:t>(2018) Nuffield Council on Bioethics.</w:t>
      </w:r>
    </w:p>
    <w:p w:rsidRPr="0096335E" w:rsidR="0096335E" w:rsidP="0096335E" w:rsidRDefault="0096335E" w14:paraId="29AADD93" w14:textId="77777777">
      <w:pPr>
        <w:rPr>
          <w:rFonts w:cstheme="minorHAnsi"/>
          <w:u w:val="single"/>
        </w:rPr>
      </w:pPr>
    </w:p>
    <w:p w:rsidRPr="0096335E" w:rsidR="00511494" w:rsidP="0096335E" w:rsidRDefault="00511494" w14:paraId="24C840EC" w14:textId="77777777">
      <w:pPr>
        <w:pStyle w:val="FootnoteText"/>
        <w:rPr>
          <w:rFonts w:cstheme="minorHAnsi"/>
          <w:sz w:val="22"/>
          <w:szCs w:val="22"/>
        </w:rPr>
      </w:pPr>
      <w:r w:rsidRPr="0096335E">
        <w:rPr>
          <w:rFonts w:cstheme="minorHAnsi"/>
          <w:sz w:val="22"/>
          <w:szCs w:val="22"/>
        </w:rPr>
        <w:t xml:space="preserve">Bhatia N, </w:t>
      </w:r>
      <w:r w:rsidRPr="0096335E">
        <w:rPr>
          <w:rFonts w:cstheme="minorHAnsi"/>
          <w:i/>
          <w:iCs/>
          <w:sz w:val="22"/>
          <w:szCs w:val="22"/>
        </w:rPr>
        <w:t>Disagreements in the care of critically ill children: emerging issues in a changing landscape</w:t>
      </w:r>
      <w:r w:rsidRPr="0096335E">
        <w:rPr>
          <w:rFonts w:cstheme="minorHAnsi"/>
          <w:sz w:val="22"/>
          <w:szCs w:val="22"/>
        </w:rPr>
        <w:t xml:space="preserve"> (2018) Nuffield Council on Bioethics.</w:t>
      </w:r>
    </w:p>
    <w:p w:rsidRPr="0096335E" w:rsidR="00511494" w:rsidP="0096335E" w:rsidRDefault="00511494" w14:paraId="316F50FD" w14:textId="77777777">
      <w:pPr>
        <w:pStyle w:val="FootnoteText"/>
        <w:rPr>
          <w:rFonts w:cstheme="minorHAnsi"/>
          <w:sz w:val="22"/>
          <w:szCs w:val="22"/>
        </w:rPr>
      </w:pPr>
    </w:p>
    <w:p w:rsidRPr="0096335E" w:rsidR="00511494" w:rsidP="0096335E" w:rsidRDefault="00511494" w14:paraId="1682B6AE" w14:textId="77777777">
      <w:pPr>
        <w:pStyle w:val="FootnoteText"/>
        <w:rPr>
          <w:rFonts w:cstheme="minorHAnsi"/>
          <w:sz w:val="22"/>
          <w:szCs w:val="22"/>
        </w:rPr>
      </w:pPr>
      <w:r w:rsidRPr="0096335E">
        <w:rPr>
          <w:sz w:val="22"/>
          <w:szCs w:val="22"/>
        </w:rPr>
        <w:t xml:space="preserve">British Medical Association, </w:t>
      </w:r>
      <w:r w:rsidRPr="0096335E">
        <w:rPr>
          <w:i/>
          <w:iCs/>
          <w:sz w:val="22"/>
          <w:szCs w:val="22"/>
        </w:rPr>
        <w:t>Moral Distress and Moral Injury: Recognising and Tackling it for UK Doctors</w:t>
      </w:r>
      <w:r w:rsidRPr="0096335E">
        <w:rPr>
          <w:sz w:val="22"/>
          <w:szCs w:val="22"/>
        </w:rPr>
        <w:t xml:space="preserve"> (BMA, 2021).</w:t>
      </w:r>
    </w:p>
    <w:p w:rsidRPr="0096335E" w:rsidR="00511494" w:rsidP="0096335E" w:rsidRDefault="00511494" w14:paraId="2FA6F09A" w14:textId="77777777">
      <w:pPr>
        <w:pStyle w:val="FootnoteText"/>
        <w:rPr>
          <w:rFonts w:cstheme="minorHAnsi"/>
          <w:sz w:val="22"/>
          <w:szCs w:val="22"/>
        </w:rPr>
      </w:pPr>
    </w:p>
    <w:p w:rsidRPr="0096335E" w:rsidR="00511494" w:rsidP="0096335E" w:rsidRDefault="00511494" w14:paraId="3269110C" w14:textId="77777777">
      <w:pPr>
        <w:pStyle w:val="FootnoteText"/>
        <w:rPr>
          <w:rFonts w:cstheme="minorHAnsi"/>
          <w:sz w:val="22"/>
          <w:szCs w:val="22"/>
        </w:rPr>
      </w:pPr>
      <w:r w:rsidRPr="0096335E">
        <w:rPr>
          <w:rFonts w:cstheme="minorHAnsi"/>
          <w:sz w:val="22"/>
          <w:szCs w:val="22"/>
        </w:rPr>
        <w:t xml:space="preserve">Ministry of Justice, </w:t>
      </w:r>
      <w:r w:rsidRPr="0096335E">
        <w:rPr>
          <w:rFonts w:cstheme="minorHAnsi"/>
          <w:i/>
          <w:iCs/>
          <w:sz w:val="22"/>
          <w:szCs w:val="22"/>
        </w:rPr>
        <w:t>Legal Aid Means Test Review</w:t>
      </w:r>
      <w:r w:rsidRPr="0096335E">
        <w:rPr>
          <w:rFonts w:cstheme="minorHAnsi"/>
          <w:sz w:val="22"/>
          <w:szCs w:val="22"/>
        </w:rPr>
        <w:t xml:space="preserve"> (15 March 2022)</w:t>
      </w:r>
    </w:p>
    <w:p w:rsidRPr="0096335E" w:rsidR="00511494" w:rsidP="0096335E" w:rsidRDefault="00511494" w14:paraId="03BFCFAE" w14:textId="77777777">
      <w:pPr>
        <w:pStyle w:val="FootnoteText"/>
        <w:rPr>
          <w:rFonts w:cstheme="minorHAnsi"/>
          <w:sz w:val="22"/>
          <w:szCs w:val="22"/>
        </w:rPr>
      </w:pPr>
    </w:p>
    <w:p w:rsidRPr="0096335E" w:rsidR="00511494" w:rsidP="0096335E" w:rsidRDefault="00511494" w14:paraId="708F0346" w14:textId="77777777">
      <w:pPr>
        <w:pStyle w:val="FootnoteText"/>
        <w:rPr>
          <w:rFonts w:cstheme="minorHAnsi"/>
          <w:sz w:val="22"/>
          <w:szCs w:val="22"/>
        </w:rPr>
      </w:pPr>
      <w:r w:rsidRPr="0096335E">
        <w:rPr>
          <w:rFonts w:cstheme="minorHAnsi"/>
          <w:sz w:val="22"/>
          <w:szCs w:val="22"/>
        </w:rPr>
        <w:t xml:space="preserve">Nuffield Council on Bioethics, </w:t>
      </w:r>
      <w:r w:rsidRPr="0096335E">
        <w:rPr>
          <w:rFonts w:cstheme="minorHAnsi"/>
          <w:i/>
          <w:iCs/>
          <w:sz w:val="22"/>
          <w:szCs w:val="22"/>
        </w:rPr>
        <w:t xml:space="preserve">Bioethics Briefing Note – Disagreements in the Care of Critically Ill Children </w:t>
      </w:r>
      <w:r w:rsidRPr="0096335E">
        <w:rPr>
          <w:rFonts w:cstheme="minorHAnsi"/>
          <w:sz w:val="22"/>
          <w:szCs w:val="22"/>
        </w:rPr>
        <w:t>(2019).</w:t>
      </w:r>
    </w:p>
    <w:p w:rsidRPr="0096335E" w:rsidR="00511494" w:rsidP="0096335E" w:rsidRDefault="00511494" w14:paraId="397D960E" w14:textId="77777777">
      <w:pPr>
        <w:rPr>
          <w:rFonts w:cstheme="minorHAnsi"/>
        </w:rPr>
      </w:pPr>
    </w:p>
    <w:p w:rsidRPr="0096335E" w:rsidR="00511494" w:rsidP="0096335E" w:rsidRDefault="00511494" w14:paraId="21F27A38" w14:textId="77777777">
      <w:pPr>
        <w:rPr>
          <w:rFonts w:cstheme="minorHAnsi"/>
          <w:u w:val="single"/>
        </w:rPr>
      </w:pPr>
      <w:r w:rsidRPr="0096335E">
        <w:rPr>
          <w:rFonts w:cstheme="minorHAnsi"/>
          <w:u w:val="single"/>
        </w:rPr>
        <w:t>Media Reports and Web Sources</w:t>
      </w:r>
    </w:p>
    <w:p w:rsidRPr="0096335E" w:rsidR="00511494" w:rsidP="0096335E" w:rsidRDefault="00511494" w14:paraId="6E4775BB" w14:textId="77777777">
      <w:pPr>
        <w:pStyle w:val="FootnoteText"/>
        <w:rPr>
          <w:rFonts w:cstheme="minorHAnsi"/>
          <w:sz w:val="22"/>
          <w:szCs w:val="22"/>
        </w:rPr>
      </w:pPr>
      <w:r w:rsidRPr="0096335E">
        <w:rPr>
          <w:rFonts w:cstheme="minorHAnsi"/>
          <w:sz w:val="22"/>
          <w:szCs w:val="22"/>
        </w:rPr>
        <w:t>_ _, ‘Archie Battersbee: The Laws of Life and Death’ (13 August 2022) This Week.</w:t>
      </w:r>
    </w:p>
    <w:p w:rsidRPr="0096335E" w:rsidR="00511494" w:rsidP="0096335E" w:rsidRDefault="00511494" w14:paraId="467C7A66" w14:textId="77777777">
      <w:pPr>
        <w:pStyle w:val="FootnoteText"/>
        <w:rPr>
          <w:rFonts w:cstheme="minorHAnsi"/>
          <w:sz w:val="22"/>
          <w:szCs w:val="22"/>
        </w:rPr>
      </w:pPr>
    </w:p>
    <w:p w:rsidRPr="0096335E" w:rsidR="00511494" w:rsidP="0096335E" w:rsidRDefault="00511494" w14:paraId="30707173" w14:textId="77777777">
      <w:pPr>
        <w:pStyle w:val="FootnoteText"/>
        <w:rPr>
          <w:rFonts w:cstheme="minorHAnsi"/>
          <w:sz w:val="22"/>
          <w:szCs w:val="22"/>
        </w:rPr>
      </w:pPr>
      <w:r w:rsidRPr="0096335E">
        <w:rPr>
          <w:rFonts w:cstheme="minorHAnsi"/>
          <w:sz w:val="22"/>
          <w:szCs w:val="22"/>
        </w:rPr>
        <w:t>Adams G, ‘Lawyer appointed by the court to represent Charlie Gard’s best interests in his life or death court case campaigned for doctors to be able to legally kill patients’ (17 July 2017) Daily Mail.</w:t>
      </w:r>
    </w:p>
    <w:p w:rsidRPr="0096335E" w:rsidR="00511494" w:rsidP="0096335E" w:rsidRDefault="00511494" w14:paraId="64BD0CCF" w14:textId="77777777">
      <w:pPr>
        <w:pStyle w:val="FootnoteText"/>
        <w:ind w:left="360"/>
        <w:rPr>
          <w:rFonts w:cstheme="minorHAnsi"/>
          <w:sz w:val="22"/>
          <w:szCs w:val="22"/>
        </w:rPr>
      </w:pPr>
    </w:p>
    <w:p w:rsidRPr="0096335E" w:rsidR="00511494" w:rsidP="0096335E" w:rsidRDefault="00511494" w14:paraId="43A15EB4" w14:textId="77777777">
      <w:pPr>
        <w:pStyle w:val="FootnoteText"/>
        <w:rPr>
          <w:rFonts w:cstheme="minorHAnsi"/>
          <w:sz w:val="22"/>
          <w:szCs w:val="22"/>
        </w:rPr>
      </w:pPr>
      <w:r w:rsidRPr="0096335E">
        <w:rPr>
          <w:rFonts w:cstheme="minorHAnsi"/>
          <w:sz w:val="22"/>
          <w:szCs w:val="22"/>
        </w:rPr>
        <w:t>Anscombe Bioethics Centre, ‘Pippa Knight: The benefit of being cared for unawares’ (4 February 2021) Press Statement.</w:t>
      </w:r>
    </w:p>
    <w:p w:rsidRPr="0096335E" w:rsidR="00511494" w:rsidP="0096335E" w:rsidRDefault="00511494" w14:paraId="20BB02BF" w14:textId="77777777">
      <w:pPr>
        <w:pStyle w:val="FootnoteText"/>
        <w:ind w:left="360"/>
        <w:rPr>
          <w:rFonts w:cstheme="minorHAnsi"/>
          <w:sz w:val="22"/>
          <w:szCs w:val="22"/>
        </w:rPr>
      </w:pPr>
    </w:p>
    <w:p w:rsidRPr="0096335E" w:rsidR="00511494" w:rsidP="0096335E" w:rsidRDefault="00511494" w14:paraId="41652DAE" w14:textId="77777777">
      <w:pPr>
        <w:pStyle w:val="FootnoteText"/>
        <w:rPr>
          <w:rFonts w:cstheme="minorHAnsi"/>
          <w:sz w:val="22"/>
          <w:szCs w:val="22"/>
        </w:rPr>
      </w:pPr>
      <w:r w:rsidRPr="0096335E">
        <w:rPr>
          <w:rFonts w:cstheme="minorHAnsi"/>
          <w:sz w:val="22"/>
          <w:szCs w:val="22"/>
        </w:rPr>
        <w:t>Anscombe Bioethics Centre, ‘Alta Fixsler: Subsidiary and the Importance of Circumstances’ (4 August 2021) Press Statement.</w:t>
      </w:r>
    </w:p>
    <w:p w:rsidRPr="0096335E" w:rsidR="00511494" w:rsidP="0096335E" w:rsidRDefault="00511494" w14:paraId="6196534F" w14:textId="77777777">
      <w:pPr>
        <w:pStyle w:val="FootnoteText"/>
        <w:ind w:left="360"/>
        <w:rPr>
          <w:rFonts w:cstheme="minorHAnsi"/>
          <w:sz w:val="22"/>
          <w:szCs w:val="22"/>
        </w:rPr>
      </w:pPr>
    </w:p>
    <w:p w:rsidRPr="002D3BE4" w:rsidR="00511494" w:rsidP="0096335E" w:rsidRDefault="00511494" w14:paraId="5F06FB81" w14:textId="77777777">
      <w:pPr>
        <w:pStyle w:val="FootnoteText"/>
        <w:rPr>
          <w:rFonts w:cstheme="minorHAnsi"/>
          <w:sz w:val="22"/>
          <w:szCs w:val="22"/>
        </w:rPr>
      </w:pPr>
      <w:r w:rsidRPr="002D3BE4">
        <w:rPr>
          <w:sz w:val="22"/>
          <w:szCs w:val="22"/>
        </w:rPr>
        <w:t>Buksh A,‘Tafida Raqeeb: Mum hopes brain-damaged girl will return home’ (22 March 2022) BBC News &lt;https://www.bbc.co.uk/news/uk-england-london-608399727&gt; Last accessed 24 April 2023.</w:t>
      </w:r>
    </w:p>
    <w:p w:rsidRPr="0096335E" w:rsidR="00511494" w:rsidP="0096335E" w:rsidRDefault="00511494" w14:paraId="29EB5CBB" w14:textId="77777777">
      <w:pPr>
        <w:pStyle w:val="FootnoteText"/>
        <w:ind w:left="360"/>
        <w:rPr>
          <w:rFonts w:cstheme="minorHAnsi"/>
          <w:sz w:val="22"/>
          <w:szCs w:val="22"/>
        </w:rPr>
      </w:pPr>
    </w:p>
    <w:p w:rsidRPr="0096335E" w:rsidR="00511494" w:rsidP="0096335E" w:rsidRDefault="00511494" w14:paraId="455135BE" w14:textId="77777777">
      <w:pPr>
        <w:pStyle w:val="FootnoteText"/>
        <w:rPr>
          <w:rFonts w:cstheme="minorHAnsi"/>
          <w:sz w:val="22"/>
          <w:szCs w:val="22"/>
        </w:rPr>
      </w:pPr>
      <w:r w:rsidRPr="0096335E">
        <w:rPr>
          <w:rFonts w:cstheme="minorHAnsi"/>
          <w:sz w:val="22"/>
          <w:szCs w:val="22"/>
        </w:rPr>
        <w:t xml:space="preserve">Charlie Gard Foundation, ‘Charlie’s Law’&lt; </w:t>
      </w:r>
      <w:hyperlink w:history="1" r:id="rId12">
        <w:r w:rsidRPr="0096335E">
          <w:rPr>
            <w:rStyle w:val="Hyperlink"/>
            <w:rFonts w:cstheme="minorHAnsi"/>
            <w:sz w:val="22"/>
            <w:szCs w:val="22"/>
          </w:rPr>
          <w:t>https://thecharliegardfoundation.org/about/what-is-charlies-law/</w:t>
        </w:r>
      </w:hyperlink>
      <w:r w:rsidRPr="0096335E">
        <w:rPr>
          <w:rFonts w:cstheme="minorHAnsi"/>
          <w:sz w:val="22"/>
          <w:szCs w:val="22"/>
        </w:rPr>
        <w:t>&gt; Last accessed 27 March 2023.</w:t>
      </w:r>
    </w:p>
    <w:p w:rsidRPr="0096335E" w:rsidR="00511494" w:rsidP="0096335E" w:rsidRDefault="00511494" w14:paraId="5787A29F" w14:textId="77777777">
      <w:pPr>
        <w:pStyle w:val="FootnoteText"/>
        <w:ind w:left="360"/>
        <w:rPr>
          <w:rFonts w:cstheme="minorHAnsi"/>
          <w:sz w:val="22"/>
          <w:szCs w:val="22"/>
        </w:rPr>
      </w:pPr>
    </w:p>
    <w:p w:rsidRPr="0096335E" w:rsidR="00511494" w:rsidP="0096335E" w:rsidRDefault="00511494" w14:paraId="09769D7C" w14:textId="77777777">
      <w:pPr>
        <w:pStyle w:val="FootnoteText"/>
        <w:rPr>
          <w:rFonts w:cstheme="minorHAnsi"/>
          <w:sz w:val="22"/>
          <w:szCs w:val="22"/>
        </w:rPr>
      </w:pPr>
      <w:r w:rsidRPr="0096335E">
        <w:rPr>
          <w:rFonts w:cstheme="minorHAnsi"/>
          <w:sz w:val="22"/>
          <w:szCs w:val="22"/>
        </w:rPr>
        <w:t>Forbat L, ‘When doctors and parents disagree on how to treat a sick child the emotional and financial costs can be huge’ (9 October 2019) The Conversation.</w:t>
      </w:r>
    </w:p>
    <w:p w:rsidRPr="0096335E" w:rsidR="00511494" w:rsidP="0096335E" w:rsidRDefault="00511494" w14:paraId="26844ADB" w14:textId="77777777">
      <w:pPr>
        <w:pStyle w:val="FootnoteText"/>
        <w:ind w:left="360"/>
        <w:rPr>
          <w:rFonts w:cstheme="minorHAnsi"/>
          <w:sz w:val="22"/>
          <w:szCs w:val="22"/>
        </w:rPr>
      </w:pPr>
    </w:p>
    <w:p w:rsidRPr="0096335E" w:rsidR="00511494" w:rsidP="0096335E" w:rsidRDefault="00511494" w14:paraId="3C387EDD" w14:textId="0117491E">
      <w:pPr>
        <w:pStyle w:val="FootnoteText"/>
        <w:rPr>
          <w:rFonts w:cstheme="minorHAnsi"/>
          <w:sz w:val="22"/>
          <w:szCs w:val="22"/>
        </w:rPr>
      </w:pPr>
      <w:r w:rsidRPr="0096335E">
        <w:rPr>
          <w:rFonts w:cstheme="minorHAnsi"/>
          <w:sz w:val="22"/>
          <w:szCs w:val="22"/>
        </w:rPr>
        <w:t>Gollop K and Pope S, ‘Charlie Gard, Alfie Evans and R (A Child): Why a medical treatment Significant Harm test would hinder not help’ (22 May 2018) The Transparency Project &lt;https:///transparencyproject.org.uk/charlie-gard-alfie-evans-and-r-a-child-why-a-medical-treatment-siginficant-harm-test-would-hinder-not-help&gt; Last accessed 27 March 2023.</w:t>
      </w:r>
    </w:p>
    <w:p w:rsidRPr="0096335E" w:rsidR="00511494" w:rsidP="0096335E" w:rsidRDefault="00511494" w14:paraId="5E67ACD0" w14:textId="77777777">
      <w:pPr>
        <w:pStyle w:val="FootnoteText"/>
        <w:ind w:left="360"/>
        <w:rPr>
          <w:rFonts w:cstheme="minorHAnsi"/>
          <w:sz w:val="22"/>
          <w:szCs w:val="22"/>
        </w:rPr>
      </w:pPr>
    </w:p>
    <w:p w:rsidRPr="0096335E" w:rsidR="00511494" w:rsidP="0096335E" w:rsidRDefault="00511494" w14:paraId="4A5DA12C" w14:textId="77777777">
      <w:pPr>
        <w:pStyle w:val="FootnoteText"/>
        <w:rPr>
          <w:rFonts w:cstheme="minorHAnsi"/>
          <w:sz w:val="22"/>
          <w:szCs w:val="22"/>
        </w:rPr>
      </w:pPr>
      <w:r w:rsidRPr="0096335E">
        <w:rPr>
          <w:rFonts w:cstheme="minorHAnsi"/>
          <w:sz w:val="22"/>
          <w:szCs w:val="22"/>
        </w:rPr>
        <w:t>King J, ‘Mum of boy, 12, in a coma “praying for a miracle” with life support decision looming’ (14 May 2022) Metro News&lt;https://metro.co.uk/2022/05/14/archie-battersbee-mum-is-praying-for-miracle-over-sons-life-support-16643810/amp&gt; Last accessed 2 April 2023.</w:t>
      </w:r>
    </w:p>
    <w:p w:rsidRPr="0096335E" w:rsidR="00511494" w:rsidP="0096335E" w:rsidRDefault="00511494" w14:paraId="04FCE742" w14:textId="77777777">
      <w:pPr>
        <w:pStyle w:val="FootnoteText"/>
        <w:ind w:left="360"/>
        <w:rPr>
          <w:rFonts w:cstheme="minorHAnsi"/>
          <w:sz w:val="22"/>
          <w:szCs w:val="22"/>
        </w:rPr>
      </w:pPr>
    </w:p>
    <w:p w:rsidRPr="0096335E" w:rsidR="00511494" w:rsidP="0096335E" w:rsidRDefault="00511494" w14:paraId="75409362" w14:textId="77777777">
      <w:pPr>
        <w:pStyle w:val="FootnoteText"/>
        <w:rPr>
          <w:rFonts w:cstheme="minorHAnsi"/>
          <w:sz w:val="22"/>
          <w:szCs w:val="22"/>
        </w:rPr>
      </w:pPr>
      <w:r w:rsidRPr="0096335E">
        <w:rPr>
          <w:rFonts w:cstheme="minorHAnsi"/>
          <w:sz w:val="22"/>
          <w:szCs w:val="22"/>
        </w:rPr>
        <w:t>Limb R, ‘Alfie’s Law and Charlie’s Law: Are there alternatives to court battles between parents and hospitals?’ (29 November 2018) Lacuna.org.uk &lt;https://lacuna.org.uk/food-and-health/alfies-law-and-charlies-law-are-there-alternatives-to-court-battles-between-parents-and-hospitals&gt; Last accessed 27 March 2023</w:t>
      </w:r>
    </w:p>
    <w:p w:rsidRPr="0096335E" w:rsidR="00511494" w:rsidP="0096335E" w:rsidRDefault="00511494" w14:paraId="49631096" w14:textId="77777777">
      <w:pPr>
        <w:pStyle w:val="FootnoteText"/>
        <w:ind w:left="360"/>
        <w:rPr>
          <w:rFonts w:cstheme="minorHAnsi"/>
          <w:sz w:val="22"/>
          <w:szCs w:val="22"/>
        </w:rPr>
      </w:pPr>
    </w:p>
    <w:p w:rsidRPr="0096335E" w:rsidR="00511494" w:rsidP="0096335E" w:rsidRDefault="00511494" w14:paraId="7880193D" w14:textId="77777777">
      <w:pPr>
        <w:pStyle w:val="FootnoteText"/>
        <w:rPr>
          <w:rFonts w:cstheme="minorHAnsi"/>
          <w:sz w:val="22"/>
          <w:szCs w:val="22"/>
        </w:rPr>
      </w:pPr>
      <w:r w:rsidRPr="0096335E">
        <w:rPr>
          <w:rFonts w:cstheme="minorHAnsi"/>
          <w:sz w:val="22"/>
          <w:szCs w:val="22"/>
        </w:rPr>
        <w:t>McDonagh M, ‘Is letting Alta Fixsler die really in her “best interests”’ (10 August 2021) The Spectator.</w:t>
      </w:r>
    </w:p>
    <w:p w:rsidRPr="0096335E" w:rsidR="00511494" w:rsidP="0096335E" w:rsidRDefault="00511494" w14:paraId="655535B0" w14:textId="77777777">
      <w:pPr>
        <w:pStyle w:val="FootnoteText"/>
        <w:rPr>
          <w:rFonts w:cstheme="minorHAnsi"/>
          <w:sz w:val="22"/>
          <w:szCs w:val="22"/>
        </w:rPr>
      </w:pPr>
    </w:p>
    <w:p w:rsidRPr="002D3BE4" w:rsidR="00511494" w:rsidP="0096335E" w:rsidRDefault="00511494" w14:paraId="10F99CF2" w14:textId="77777777">
      <w:pPr>
        <w:pStyle w:val="FootnoteText"/>
        <w:rPr>
          <w:rFonts w:cstheme="minorHAnsi"/>
          <w:sz w:val="22"/>
          <w:szCs w:val="22"/>
        </w:rPr>
      </w:pPr>
      <w:r w:rsidRPr="002D3BE4">
        <w:rPr>
          <w:sz w:val="22"/>
          <w:szCs w:val="22"/>
        </w:rPr>
        <w:t>McLennan A, ‘After the kidney transplant: The view from “Team William”’ (16 April 2023) Open Justice: Court of Protection Project &lt;</w:t>
      </w:r>
      <w:hyperlink w:history="1" r:id="rId13">
        <w:r w:rsidRPr="002D3BE4">
          <w:rPr>
            <w:rStyle w:val="Hyperlink"/>
            <w:color w:val="auto"/>
            <w:sz w:val="22"/>
            <w:szCs w:val="22"/>
            <w:u w:val="none"/>
          </w:rPr>
          <w:t>https://openjusticecourtofprotection.org/2023/04/16/after-the-kidney-transplant-the-view-from-team-william</w:t>
        </w:r>
      </w:hyperlink>
      <w:r w:rsidRPr="002D3BE4">
        <w:rPr>
          <w:sz w:val="22"/>
          <w:szCs w:val="22"/>
        </w:rPr>
        <w:t>&gt; Last Accessed 30 April 2023.</w:t>
      </w:r>
    </w:p>
    <w:p w:rsidRPr="0096335E" w:rsidR="00511494" w:rsidP="0096335E" w:rsidRDefault="00511494" w14:paraId="5306BAFE" w14:textId="77777777">
      <w:pPr>
        <w:pStyle w:val="FootnoteText"/>
        <w:ind w:left="360"/>
        <w:rPr>
          <w:rFonts w:cstheme="minorHAnsi"/>
          <w:sz w:val="22"/>
          <w:szCs w:val="22"/>
        </w:rPr>
      </w:pPr>
    </w:p>
    <w:p w:rsidRPr="0096335E" w:rsidR="00511494" w:rsidP="0096335E" w:rsidRDefault="00511494" w14:paraId="44407C43" w14:textId="77777777">
      <w:pPr>
        <w:pStyle w:val="FootnoteText"/>
        <w:rPr>
          <w:rFonts w:cstheme="minorHAnsi"/>
          <w:sz w:val="22"/>
          <w:szCs w:val="22"/>
        </w:rPr>
      </w:pPr>
      <w:r w:rsidRPr="0096335E">
        <w:rPr>
          <w:rFonts w:cstheme="minorHAnsi"/>
          <w:sz w:val="22"/>
          <w:szCs w:val="22"/>
        </w:rPr>
        <w:t>Nottingham E, ‘Experience as a legal blogger at Tafida Raqeeb case’ (23 December 2019) The Transparency Project &lt;</w:t>
      </w:r>
      <w:hyperlink w:history="1" r:id="rId14">
        <w:r w:rsidRPr="0096335E">
          <w:rPr>
            <w:rStyle w:val="Hyperlink"/>
            <w:rFonts w:cstheme="minorHAnsi"/>
            <w:sz w:val="22"/>
            <w:szCs w:val="22"/>
          </w:rPr>
          <w:t>https://transparencyproject.org.uk/experience-as-a-legal-blogger-at-the-tafida-raqeeb-case</w:t>
        </w:r>
      </w:hyperlink>
      <w:r w:rsidRPr="0096335E">
        <w:rPr>
          <w:rFonts w:cstheme="minorHAnsi"/>
          <w:sz w:val="22"/>
          <w:szCs w:val="22"/>
        </w:rPr>
        <w:t>&gt; Last accessed 2 April 2023.</w:t>
      </w:r>
    </w:p>
    <w:p w:rsidRPr="0096335E" w:rsidR="00511494" w:rsidP="0096335E" w:rsidRDefault="00511494" w14:paraId="78EBF5F2" w14:textId="77777777">
      <w:pPr>
        <w:pStyle w:val="FootnoteText"/>
        <w:rPr>
          <w:rFonts w:cstheme="minorHAnsi"/>
          <w:sz w:val="22"/>
          <w:szCs w:val="22"/>
        </w:rPr>
      </w:pPr>
    </w:p>
    <w:p w:rsidRPr="0096335E" w:rsidR="00511494" w:rsidP="0096335E" w:rsidRDefault="00511494" w14:paraId="0F473C6E" w14:textId="77777777">
      <w:pPr>
        <w:pStyle w:val="FootnoteText"/>
        <w:rPr>
          <w:rFonts w:cstheme="minorHAnsi"/>
          <w:sz w:val="22"/>
          <w:szCs w:val="22"/>
        </w:rPr>
      </w:pPr>
      <w:r w:rsidRPr="0096335E">
        <w:rPr>
          <w:rFonts w:cstheme="minorHAnsi"/>
          <w:sz w:val="22"/>
          <w:szCs w:val="22"/>
        </w:rPr>
        <w:t xml:space="preserve">Scott L, ‘Charlie Gard’s parents wouldn’t wish court battle to save child “on worst enemy”’ (20 July 2022) itvNEWS &lt;https://www.itv.com/news/2022-07-20/charle-gards-parents-wouldt-wish-court-battle-to-save-child-on-worst-enemy&gt; Last accessed 20 March 2023. </w:t>
      </w:r>
    </w:p>
    <w:p w:rsidRPr="002D3BE4" w:rsidR="00511494" w:rsidP="0096335E" w:rsidRDefault="00511494" w14:paraId="3AE5F0A6" w14:textId="77777777">
      <w:pPr>
        <w:pStyle w:val="FootnoteText"/>
        <w:ind w:left="360"/>
        <w:rPr>
          <w:rFonts w:cstheme="minorHAnsi"/>
          <w:sz w:val="22"/>
          <w:szCs w:val="22"/>
        </w:rPr>
      </w:pPr>
    </w:p>
    <w:p w:rsidRPr="002D3BE4" w:rsidR="00511494" w:rsidP="0096335E" w:rsidRDefault="00511494" w14:paraId="224DDBFC" w14:textId="77777777">
      <w:pPr>
        <w:pStyle w:val="FootnoteText"/>
        <w:rPr>
          <w:rFonts w:cstheme="minorHAnsi"/>
          <w:sz w:val="22"/>
          <w:szCs w:val="22"/>
        </w:rPr>
      </w:pPr>
      <w:r w:rsidRPr="002D3BE4">
        <w:rPr>
          <w:sz w:val="22"/>
          <w:szCs w:val="22"/>
        </w:rPr>
        <w:t>Sharpe A, ‘Right-to-life teen “in great spirits” as he leaves hospital after transplant, says mum’ (24 September 2022) The Mirror &lt;https://www.mirror.co.uk/news/uk-news/right-to-life-teen-in-great-28073052.amp&gt; Last accessed 24 April 2023.</w:t>
      </w:r>
    </w:p>
    <w:p w:rsidRPr="0096335E" w:rsidR="00511494" w:rsidP="0096335E" w:rsidRDefault="00511494" w14:paraId="1FFD178F" w14:textId="77777777">
      <w:pPr>
        <w:pStyle w:val="FootnoteText"/>
        <w:ind w:left="360"/>
        <w:rPr>
          <w:rFonts w:cstheme="minorHAnsi"/>
          <w:sz w:val="22"/>
          <w:szCs w:val="22"/>
        </w:rPr>
      </w:pPr>
    </w:p>
    <w:p w:rsidRPr="0096335E" w:rsidR="00511494" w:rsidP="0096335E" w:rsidRDefault="00511494" w14:paraId="4B7D8797" w14:textId="77777777">
      <w:pPr>
        <w:pStyle w:val="FootnoteText"/>
        <w:rPr>
          <w:rFonts w:cstheme="minorHAnsi"/>
          <w:sz w:val="22"/>
          <w:szCs w:val="22"/>
        </w:rPr>
      </w:pPr>
      <w:r w:rsidRPr="0096335E">
        <w:rPr>
          <w:rFonts w:cstheme="minorHAnsi"/>
          <w:sz w:val="22"/>
          <w:szCs w:val="22"/>
        </w:rPr>
        <w:t>Shaw N, ‘ Archie Battersbee’s mum Hollie says his final moments were “awful”’ (19 August 2022) North Wales Live &lt;</w:t>
      </w:r>
      <w:hyperlink w:history="1" r:id="rId15">
        <w:r w:rsidRPr="0096335E">
          <w:rPr>
            <w:rStyle w:val="Hyperlink"/>
            <w:rFonts w:cstheme="minorHAnsi"/>
            <w:sz w:val="22"/>
            <w:szCs w:val="22"/>
          </w:rPr>
          <w:t>https://www.dailypost.co.uk/news/north-wales-news-/archie-battersbees-mum-hollie-says-24796995</w:t>
        </w:r>
      </w:hyperlink>
      <w:r w:rsidRPr="0096335E">
        <w:rPr>
          <w:rFonts w:cstheme="minorHAnsi"/>
          <w:sz w:val="22"/>
          <w:szCs w:val="22"/>
        </w:rPr>
        <w:t>&gt; Last accessed 27 March 2023.</w:t>
      </w:r>
    </w:p>
    <w:p w:rsidRPr="0096335E" w:rsidR="00511494" w:rsidP="0096335E" w:rsidRDefault="00511494" w14:paraId="29C78000" w14:textId="77777777">
      <w:pPr>
        <w:pStyle w:val="FootnoteText"/>
        <w:ind w:left="360"/>
        <w:rPr>
          <w:rFonts w:cstheme="minorHAnsi"/>
          <w:sz w:val="22"/>
          <w:szCs w:val="22"/>
        </w:rPr>
      </w:pPr>
    </w:p>
    <w:p w:rsidR="00511494" w:rsidP="0096335E" w:rsidRDefault="00511494" w14:paraId="6586592A" w14:textId="2B129BA8">
      <w:pPr>
        <w:rPr>
          <w:rFonts w:cstheme="minorHAnsi"/>
        </w:rPr>
      </w:pPr>
      <w:r w:rsidRPr="0096335E">
        <w:rPr>
          <w:rFonts w:cstheme="minorHAnsi"/>
        </w:rPr>
        <w:t>Wilkinson D, ‘Archie Battersbee: How the court reached its conclusion in this tragic case’ (!7 June 2022) The Conversation.</w:t>
      </w:r>
    </w:p>
    <w:p w:rsidRPr="002D3BE4" w:rsidR="002D3BE4" w:rsidP="0096335E" w:rsidRDefault="002D3BE4" w14:paraId="03EA3A3A" w14:textId="77777777">
      <w:pPr>
        <w:rPr>
          <w:rFonts w:cstheme="minorHAnsi"/>
        </w:rPr>
      </w:pPr>
    </w:p>
    <w:p w:rsidRPr="002D3BE4" w:rsidR="00511494" w:rsidP="0096335E" w:rsidRDefault="00511494" w14:paraId="6E177FF0" w14:textId="77777777">
      <w:r w:rsidRPr="002D3BE4">
        <w:t xml:space="preserve">Woolley S, ‘Religious fundamentalist lawyers “preyed on” Archie Battersbee’s family’ (8 August 2022) OpenDemocracy &lt; </w:t>
      </w:r>
      <w:hyperlink w:history="1" r:id="rId16">
        <w:r w:rsidRPr="002D3BE4">
          <w:rPr>
            <w:rStyle w:val="Hyperlink"/>
            <w:color w:val="auto"/>
          </w:rPr>
          <w:t>https://www.opendemocracy.net/en/archie-battersbee-christian-legal-centre-preying-whitewash/</w:t>
        </w:r>
      </w:hyperlink>
      <w:r w:rsidRPr="002D3BE4">
        <w:t>&gt; Last accessed 23 April 2023</w:t>
      </w:r>
    </w:p>
    <w:p w:rsidRPr="0096335E" w:rsidR="0096335E" w:rsidP="0096335E" w:rsidRDefault="0096335E" w14:paraId="1E347983" w14:textId="77777777">
      <w:pPr>
        <w:rPr>
          <w:rFonts w:cstheme="minorHAnsi"/>
          <w:color w:val="FF0000"/>
        </w:rPr>
      </w:pPr>
    </w:p>
    <w:p w:rsidRPr="0096335E" w:rsidR="00511494" w:rsidP="0096335E" w:rsidRDefault="00511494" w14:paraId="169418AB" w14:textId="77777777">
      <w:pPr>
        <w:rPr>
          <w:rFonts w:cstheme="minorHAnsi"/>
          <w:u w:val="single"/>
        </w:rPr>
      </w:pPr>
      <w:r w:rsidRPr="0096335E">
        <w:rPr>
          <w:rFonts w:cstheme="minorHAnsi"/>
          <w:u w:val="single"/>
        </w:rPr>
        <w:t>Conference Papers:</w:t>
      </w:r>
    </w:p>
    <w:p w:rsidRPr="0096335E" w:rsidR="00511494" w:rsidP="0096335E" w:rsidRDefault="00511494" w14:paraId="4A8322F9" w14:textId="77777777">
      <w:pPr>
        <w:pStyle w:val="FootnoteText"/>
        <w:rPr>
          <w:sz w:val="22"/>
          <w:szCs w:val="22"/>
        </w:rPr>
      </w:pPr>
      <w:r w:rsidRPr="0096335E">
        <w:rPr>
          <w:rFonts w:cstheme="minorHAnsi"/>
          <w:sz w:val="22"/>
          <w:szCs w:val="22"/>
        </w:rPr>
        <w:t>Moreton K and Brierley J, ‘The Ethical and Legal Challenges of Caring for Children with Medical Complexity’ (September 2022) Presented at the Annual Scientific Meeting of the Paediatric Critical Care Society, Leicester.</w:t>
      </w:r>
    </w:p>
    <w:p w:rsidR="00937105" w:rsidP="00215352" w:rsidRDefault="00937105" w14:paraId="73D13FAD" w14:textId="3D84D871">
      <w:pPr>
        <w:jc w:val="both"/>
        <w:rPr>
          <w:b/>
          <w:bCs/>
          <w:color w:val="002060"/>
          <w:sz w:val="28"/>
          <w:szCs w:val="28"/>
          <w:u w:val="single"/>
        </w:rPr>
      </w:pPr>
    </w:p>
    <w:p w:rsidR="00937105" w:rsidP="00215352" w:rsidRDefault="00937105" w14:paraId="2C7045FD" w14:textId="6A39B3B4">
      <w:pPr>
        <w:jc w:val="both"/>
        <w:rPr>
          <w:b/>
          <w:bCs/>
          <w:color w:val="002060"/>
          <w:sz w:val="28"/>
          <w:szCs w:val="28"/>
          <w:u w:val="single"/>
        </w:rPr>
      </w:pPr>
    </w:p>
    <w:p w:rsidR="00937105" w:rsidP="00215352" w:rsidRDefault="00937105" w14:paraId="42AFF474" w14:textId="7341EDD7">
      <w:pPr>
        <w:jc w:val="both"/>
        <w:rPr>
          <w:b/>
          <w:bCs/>
          <w:color w:val="002060"/>
          <w:sz w:val="28"/>
          <w:szCs w:val="28"/>
          <w:u w:val="single"/>
        </w:rPr>
      </w:pPr>
    </w:p>
    <w:p w:rsidR="00937105" w:rsidP="00215352" w:rsidRDefault="00937105" w14:paraId="434E39EE" w14:textId="2B113DCC">
      <w:pPr>
        <w:jc w:val="both"/>
        <w:rPr>
          <w:b/>
          <w:bCs/>
          <w:color w:val="002060"/>
          <w:sz w:val="28"/>
          <w:szCs w:val="28"/>
          <w:u w:val="single"/>
        </w:rPr>
      </w:pPr>
    </w:p>
    <w:p w:rsidRPr="002E4BA1" w:rsidR="002E4BA1" w:rsidP="00E6024F" w:rsidRDefault="002E4BA1" w14:paraId="774F87AC" w14:textId="77777777">
      <w:pPr>
        <w:rPr>
          <w:b/>
          <w:bCs/>
          <w:sz w:val="28"/>
          <w:szCs w:val="28"/>
          <w:u w:val="single"/>
        </w:rPr>
      </w:pPr>
    </w:p>
    <w:sectPr w:rsidRPr="002E4BA1" w:rsidR="002E4BA1">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D283D" w:rsidP="00B61629" w:rsidRDefault="00ED283D" w14:paraId="01C83D2A" w14:textId="77777777">
      <w:r>
        <w:separator/>
      </w:r>
    </w:p>
  </w:endnote>
  <w:endnote w:type="continuationSeparator" w:id="0">
    <w:p w:rsidR="00ED283D" w:rsidP="00B61629" w:rsidRDefault="00ED283D" w14:paraId="01F59E1D" w14:textId="77777777">
      <w:r>
        <w:continuationSeparator/>
      </w:r>
    </w:p>
  </w:endnote>
  <w:endnote w:type="continuationNotice" w:id="1">
    <w:p w:rsidR="00ED283D" w:rsidRDefault="00ED283D" w14:paraId="37078B7A"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5793838"/>
      <w:docPartObj>
        <w:docPartGallery w:val="Page Numbers (Bottom of Page)"/>
        <w:docPartUnique/>
      </w:docPartObj>
    </w:sdtPr>
    <w:sdtEndPr>
      <w:rPr>
        <w:noProof/>
      </w:rPr>
    </w:sdtEndPr>
    <w:sdtContent>
      <w:p w:rsidR="00B61629" w:rsidRDefault="00B61629" w14:paraId="44768FE5" w14:textId="728A099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B61629" w:rsidRDefault="00B61629" w14:paraId="743D1A5E"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D283D" w:rsidP="00B61629" w:rsidRDefault="00ED283D" w14:paraId="09F746FD" w14:textId="77777777">
      <w:r>
        <w:separator/>
      </w:r>
    </w:p>
  </w:footnote>
  <w:footnote w:type="continuationSeparator" w:id="0">
    <w:p w:rsidR="00ED283D" w:rsidP="00B61629" w:rsidRDefault="00ED283D" w14:paraId="1A0E38BF" w14:textId="77777777">
      <w:r>
        <w:continuationSeparator/>
      </w:r>
    </w:p>
  </w:footnote>
  <w:footnote w:type="continuationNotice" w:id="1">
    <w:p w:rsidR="00ED283D" w:rsidRDefault="00ED283D" w14:paraId="580CAFE3" w14:textId="77777777"/>
  </w:footnote>
  <w:footnote w:id="2">
    <w:p w:rsidR="005B6E72" w:rsidRDefault="005B6E72" w14:paraId="102F8A57" w14:textId="3697D568">
      <w:pPr>
        <w:pStyle w:val="FootnoteText"/>
      </w:pPr>
      <w:r>
        <w:rPr>
          <w:rStyle w:val="FootnoteReference"/>
        </w:rPr>
        <w:footnoteRef/>
      </w:r>
      <w:r>
        <w:t xml:space="preserve"> The terms </w:t>
      </w:r>
      <w:r w:rsidR="00A525B9">
        <w:t>‘disagreement’</w:t>
      </w:r>
      <w:r w:rsidR="002B4942">
        <w:t>, ’tension’,</w:t>
      </w:r>
      <w:r w:rsidR="00A525B9">
        <w:t xml:space="preserve"> ‘dispute’ and ‘conflict’ will </w:t>
      </w:r>
      <w:r w:rsidR="00AD3CEB">
        <w:t>be treated as referring to the same type of event and will be</w:t>
      </w:r>
      <w:r w:rsidR="00A525B9">
        <w:t xml:space="preserve"> used interchangeably throughout this review.</w:t>
      </w:r>
    </w:p>
  </w:footnote>
  <w:footnote w:id="3">
    <w:p w:rsidR="00AB222C" w:rsidRDefault="00AB222C" w14:paraId="624E2D7A" w14:textId="6AAC2F35">
      <w:pPr>
        <w:pStyle w:val="FootnoteText"/>
      </w:pPr>
      <w:r>
        <w:rPr>
          <w:rStyle w:val="FootnoteReference"/>
        </w:rPr>
        <w:footnoteRef/>
      </w:r>
      <w:r>
        <w:t xml:space="preserve"> </w:t>
      </w:r>
      <w:r w:rsidR="004D5447">
        <w:t>The liberal standard</w:t>
      </w:r>
      <w:r w:rsidR="00914AD6">
        <w:t xml:space="preserve"> in relation to family law</w:t>
      </w:r>
      <w:r w:rsidR="004D5447">
        <w:t xml:space="preserve"> is a philosophical position</w:t>
      </w:r>
      <w:r w:rsidR="00393002">
        <w:t>, which</w:t>
      </w:r>
      <w:r w:rsidR="004D5447">
        <w:t xml:space="preserve"> </w:t>
      </w:r>
      <w:r w:rsidR="00914AD6">
        <w:t>holds that</w:t>
      </w:r>
      <w:r w:rsidR="009A5E39">
        <w:t xml:space="preserve"> children </w:t>
      </w:r>
      <w:r w:rsidR="0001087E">
        <w:t xml:space="preserve">are </w:t>
      </w:r>
      <w:r w:rsidR="00236BF4">
        <w:t xml:space="preserve">best </w:t>
      </w:r>
      <w:r w:rsidR="009A5E39">
        <w:t>bought up within their families</w:t>
      </w:r>
      <w:r w:rsidR="00236BF4">
        <w:t xml:space="preserve">, that parents are </w:t>
      </w:r>
      <w:r w:rsidR="005F3481">
        <w:t>likely to have a strong interest in their</w:t>
      </w:r>
      <w:r w:rsidR="00236BF4">
        <w:t xml:space="preserve"> child’s </w:t>
      </w:r>
      <w:r w:rsidR="005F3481">
        <w:t>wellbeing</w:t>
      </w:r>
      <w:r w:rsidR="009A2776">
        <w:t xml:space="preserve"> and so should be tasked with making decisions for their child,</w:t>
      </w:r>
      <w:r w:rsidR="00236BF4">
        <w:t xml:space="preserve"> and that </w:t>
      </w:r>
      <w:r w:rsidR="00FA1047">
        <w:t xml:space="preserve">diversity in upbringing and family life is a social good. The State should </w:t>
      </w:r>
      <w:r w:rsidR="00334692">
        <w:t>not</w:t>
      </w:r>
      <w:r w:rsidR="00FA1047">
        <w:t xml:space="preserve"> intervene in family life</w:t>
      </w:r>
      <w:r w:rsidR="00334692">
        <w:t xml:space="preserve"> unless certain conditions are met.</w:t>
      </w:r>
      <w:r w:rsidR="00090F5E">
        <w:t xml:space="preserve"> For a discussion on how to achieve the balance between family privacy and state intervention, see </w:t>
      </w:r>
      <w:r w:rsidR="006535A6">
        <w:t xml:space="preserve">for example, </w:t>
      </w:r>
      <w:r w:rsidR="00FD5117">
        <w:t xml:space="preserve">Jonathan Herring, Rebecca </w:t>
      </w:r>
      <w:r w:rsidR="00B80C7C">
        <w:t>Pr</w:t>
      </w:r>
      <w:r w:rsidR="00FD5117">
        <w:t xml:space="preserve">obert and </w:t>
      </w:r>
      <w:r w:rsidR="006535A6">
        <w:t>Stephen Gilmore,</w:t>
      </w:r>
      <w:r w:rsidR="00016680">
        <w:t xml:space="preserve"> </w:t>
      </w:r>
      <w:r w:rsidRPr="00152D18" w:rsidR="00016680">
        <w:rPr>
          <w:i/>
          <w:iCs/>
        </w:rPr>
        <w:t>Great Debates in</w:t>
      </w:r>
      <w:r w:rsidRPr="00152D18" w:rsidR="006535A6">
        <w:rPr>
          <w:i/>
          <w:iCs/>
        </w:rPr>
        <w:t xml:space="preserve"> Family</w:t>
      </w:r>
      <w:r w:rsidR="006535A6">
        <w:t xml:space="preserve"> </w:t>
      </w:r>
      <w:r w:rsidRPr="00152D18" w:rsidR="006535A6">
        <w:rPr>
          <w:i/>
          <w:iCs/>
        </w:rPr>
        <w:t>Law</w:t>
      </w:r>
      <w:r w:rsidR="006535A6">
        <w:t xml:space="preserve"> (</w:t>
      </w:r>
      <w:r w:rsidR="00C91F44">
        <w:t>2</w:t>
      </w:r>
      <w:r w:rsidRPr="00C91F44" w:rsidR="00C91F44">
        <w:rPr>
          <w:vertAlign w:val="superscript"/>
        </w:rPr>
        <w:t>nd</w:t>
      </w:r>
      <w:r w:rsidR="00C91F44">
        <w:t xml:space="preserve"> ed Macmillan </w:t>
      </w:r>
      <w:r w:rsidR="006535A6">
        <w:t xml:space="preserve">2015) 107. </w:t>
      </w:r>
    </w:p>
  </w:footnote>
  <w:footnote w:id="4">
    <w:p w:rsidR="00DF0146" w:rsidRDefault="00DF0146" w14:paraId="200EAB1C" w14:textId="160120B3">
      <w:pPr>
        <w:pStyle w:val="FootnoteText"/>
      </w:pPr>
      <w:r>
        <w:rPr>
          <w:rStyle w:val="FootnoteReference"/>
        </w:rPr>
        <w:footnoteRef/>
      </w:r>
      <w:r>
        <w:t xml:space="preserve"> </w:t>
      </w:r>
      <w:r w:rsidR="0049584F">
        <w:t>This is a key current debate, particularly in relation to the proposed “Significant Harm” threshold, which will be discussed in detail below.</w:t>
      </w:r>
    </w:p>
  </w:footnote>
  <w:footnote w:id="5">
    <w:p w:rsidRPr="00C045AC" w:rsidR="004D1C16" w:rsidP="004D1C16" w:rsidRDefault="004D1C16" w14:paraId="262B6039" w14:textId="4C19C772">
      <w:pPr>
        <w:pStyle w:val="FootnoteText"/>
      </w:pPr>
      <w:r w:rsidRPr="00C045AC">
        <w:rPr>
          <w:rStyle w:val="FootnoteReference"/>
        </w:rPr>
        <w:footnoteRef/>
      </w:r>
      <w:r w:rsidRPr="00C045AC">
        <w:t xml:space="preserve"> Children Act 1989 s3</w:t>
      </w:r>
      <w:r w:rsidR="0050753C">
        <w:t>.</w:t>
      </w:r>
    </w:p>
  </w:footnote>
  <w:footnote w:id="6">
    <w:p w:rsidRPr="00C045AC" w:rsidR="00DB7110" w:rsidRDefault="00DB7110" w14:paraId="27DE2B8C" w14:textId="2CF9236E">
      <w:pPr>
        <w:pStyle w:val="FootnoteText"/>
      </w:pPr>
      <w:r w:rsidRPr="00C045AC">
        <w:rPr>
          <w:rStyle w:val="FootnoteReference"/>
        </w:rPr>
        <w:footnoteRef/>
      </w:r>
      <w:r w:rsidRPr="00C045AC" w:rsidR="009729B6">
        <w:t xml:space="preserve"> The basic presumption in the law is that children aged under 18 lack the competence to make decisions for themselves. </w:t>
      </w:r>
      <w:r w:rsidRPr="00C045AC" w:rsidR="002175E7">
        <w:t>H</w:t>
      </w:r>
      <w:r w:rsidRPr="00C045AC" w:rsidR="009729B6">
        <w:t>owever</w:t>
      </w:r>
      <w:r w:rsidRPr="00C045AC" w:rsidR="002175E7">
        <w:t>, children may demonstrate that</w:t>
      </w:r>
      <w:r w:rsidRPr="00C045AC">
        <w:t xml:space="preserve"> </w:t>
      </w:r>
      <w:r w:rsidRPr="00C045AC" w:rsidR="002175E7">
        <w:t>they</w:t>
      </w:r>
      <w:r w:rsidRPr="00C045AC">
        <w:t xml:space="preserve"> reach the threshold of ‘Gillick competence’ </w:t>
      </w:r>
      <w:r w:rsidRPr="00C045AC" w:rsidR="002175E7">
        <w:t>by</w:t>
      </w:r>
      <w:r w:rsidRPr="00C045AC" w:rsidR="006A58DC">
        <w:t xml:space="preserve"> having ‘sufficient understanding and intelligence to</w:t>
      </w:r>
      <w:r w:rsidR="008472BB">
        <w:t xml:space="preserve"> enable him or her to</w:t>
      </w:r>
      <w:r w:rsidRPr="00C045AC" w:rsidR="006A58DC">
        <w:t xml:space="preserve"> understand</w:t>
      </w:r>
      <w:r w:rsidR="007E3508">
        <w:t xml:space="preserve"> fully</w:t>
      </w:r>
      <w:r w:rsidRPr="00C045AC" w:rsidR="006A58DC">
        <w:t xml:space="preserve"> what is proposed’</w:t>
      </w:r>
      <w:r w:rsidRPr="00C045AC" w:rsidR="002175E7">
        <w:t xml:space="preserve"> within the context of a specific medical dec</w:t>
      </w:r>
      <w:r w:rsidRPr="00C045AC" w:rsidR="002430DC">
        <w:t>ision</w:t>
      </w:r>
      <w:r w:rsidR="007E3508">
        <w:t>,</w:t>
      </w:r>
      <w:r w:rsidRPr="00C045AC" w:rsidR="006A58DC">
        <w:t xml:space="preserve"> as per </w:t>
      </w:r>
      <w:r w:rsidRPr="00D96416" w:rsidR="006A58DC">
        <w:rPr>
          <w:i/>
          <w:iCs/>
        </w:rPr>
        <w:t>Gillick</w:t>
      </w:r>
      <w:r w:rsidRPr="00D96416" w:rsidR="001A513D">
        <w:rPr>
          <w:i/>
          <w:iCs/>
        </w:rPr>
        <w:t xml:space="preserve"> </w:t>
      </w:r>
      <w:r w:rsidRPr="00D96416" w:rsidR="001A513D">
        <w:t>v</w:t>
      </w:r>
      <w:r w:rsidRPr="00D96416" w:rsidR="001A513D">
        <w:rPr>
          <w:i/>
          <w:iCs/>
        </w:rPr>
        <w:t xml:space="preserve"> West Norfolk </w:t>
      </w:r>
      <w:r w:rsidRPr="00D96416" w:rsidR="00486CBE">
        <w:rPr>
          <w:i/>
          <w:iCs/>
        </w:rPr>
        <w:t>&amp; Wisbech</w:t>
      </w:r>
      <w:r w:rsidRPr="00D96416" w:rsidR="00485F87">
        <w:rPr>
          <w:i/>
          <w:iCs/>
        </w:rPr>
        <w:t xml:space="preserve"> Area Health Authority</w:t>
      </w:r>
      <w:r w:rsidR="00485F87">
        <w:t xml:space="preserve"> [1986] </w:t>
      </w:r>
      <w:r w:rsidR="00D96416">
        <w:t>AC 112</w:t>
      </w:r>
      <w:r w:rsidRPr="00C045AC" w:rsidR="002430DC">
        <w:t>. Once this threshold is reached</w:t>
      </w:r>
      <w:r w:rsidR="007E3508">
        <w:t>,</w:t>
      </w:r>
      <w:r w:rsidRPr="00C045AC" w:rsidR="002430DC">
        <w:t xml:space="preserve"> </w:t>
      </w:r>
      <w:r w:rsidR="007E3508">
        <w:t>children</w:t>
      </w:r>
      <w:r w:rsidRPr="00C045AC" w:rsidR="009A751E">
        <w:t xml:space="preserve"> may be able to consent to medical treatment </w:t>
      </w:r>
      <w:r w:rsidRPr="00C045AC" w:rsidR="002430DC">
        <w:t xml:space="preserve">in their own right, although whether they may refuse treatment is more controversial. </w:t>
      </w:r>
      <w:r w:rsidR="00B576FE">
        <w:t>Note – The focus of this review will be on children below the Gillick competence threshold.</w:t>
      </w:r>
    </w:p>
  </w:footnote>
  <w:footnote w:id="7">
    <w:p w:rsidR="00DB3B19" w:rsidRDefault="00DB3B19" w14:paraId="2CC084CB" w14:textId="384A0E22">
      <w:pPr>
        <w:pStyle w:val="FootnoteText"/>
      </w:pPr>
      <w:r>
        <w:rPr>
          <w:rStyle w:val="FootnoteReference"/>
        </w:rPr>
        <w:footnoteRef/>
      </w:r>
      <w:r>
        <w:t xml:space="preserve"> Article 8 European Convention </w:t>
      </w:r>
      <w:r w:rsidR="00B0569C">
        <w:t>on Human Rights.</w:t>
      </w:r>
    </w:p>
  </w:footnote>
  <w:footnote w:id="8">
    <w:p w:rsidR="0037197B" w:rsidRDefault="0037197B" w14:paraId="7F0699D1" w14:textId="2DDF089F">
      <w:pPr>
        <w:pStyle w:val="FootnoteText"/>
      </w:pPr>
      <w:r>
        <w:rPr>
          <w:rStyle w:val="FootnoteReference"/>
        </w:rPr>
        <w:footnoteRef/>
      </w:r>
      <w:r>
        <w:t xml:space="preserve"> </w:t>
      </w:r>
      <w:r w:rsidR="00BE4508">
        <w:t>Children Act 1989 s 31.</w:t>
      </w:r>
    </w:p>
  </w:footnote>
  <w:footnote w:id="9">
    <w:p w:rsidR="00FD669B" w:rsidRDefault="00FD669B" w14:paraId="478C6088" w14:textId="6243B74A">
      <w:pPr>
        <w:pStyle w:val="FootnoteText"/>
      </w:pPr>
      <w:r>
        <w:rPr>
          <w:rStyle w:val="FootnoteReference"/>
        </w:rPr>
        <w:footnoteRef/>
      </w:r>
      <w:r>
        <w:t xml:space="preserve"> Children Act 1989 s1(1).</w:t>
      </w:r>
    </w:p>
  </w:footnote>
  <w:footnote w:id="10">
    <w:p w:rsidRPr="00C045AC" w:rsidR="00DF0146" w:rsidRDefault="00DF0146" w14:paraId="5E7CC8EF" w14:textId="2B6F63C7">
      <w:pPr>
        <w:pStyle w:val="FootnoteText"/>
      </w:pPr>
      <w:r w:rsidRPr="00C045AC">
        <w:rPr>
          <w:rStyle w:val="FootnoteReference"/>
        </w:rPr>
        <w:footnoteRef/>
      </w:r>
      <w:r w:rsidR="00B83407">
        <w:t xml:space="preserve"> </w:t>
      </w:r>
      <w:r w:rsidRPr="00C045AC" w:rsidR="004B29D1">
        <w:rPr>
          <w:i/>
          <w:iCs/>
        </w:rPr>
        <w:t>Great Ormond Street Hospital</w:t>
      </w:r>
      <w:r w:rsidRPr="00C045AC" w:rsidR="00A15F15">
        <w:rPr>
          <w:i/>
          <w:iCs/>
        </w:rPr>
        <w:t xml:space="preserve"> </w:t>
      </w:r>
      <w:r w:rsidRPr="00C045AC" w:rsidR="00A15F15">
        <w:t>v</w:t>
      </w:r>
      <w:r w:rsidRPr="00C045AC" w:rsidR="004B29D1">
        <w:rPr>
          <w:i/>
          <w:iCs/>
        </w:rPr>
        <w:t xml:space="preserve"> Yates and</w:t>
      </w:r>
      <w:r w:rsidRPr="00C045AC" w:rsidR="004B29D1">
        <w:t xml:space="preserve"> Ors [2017] </w:t>
      </w:r>
      <w:r w:rsidRPr="00C045AC" w:rsidR="00A15F15">
        <w:t>EWHC 972 (Fam)</w:t>
      </w:r>
      <w:r w:rsidR="00B83407">
        <w:t xml:space="preserve">; </w:t>
      </w:r>
      <w:r w:rsidRPr="00416CED" w:rsidR="00416CED">
        <w:rPr>
          <w:i/>
          <w:iCs/>
        </w:rPr>
        <w:t>In the Matter of Charles Gard</w:t>
      </w:r>
      <w:r w:rsidR="00416CED">
        <w:t xml:space="preserve"> [2017] EWCA Civ 410; </w:t>
      </w:r>
      <w:r w:rsidRPr="00CE1E08" w:rsidR="00CE1E08">
        <w:rPr>
          <w:i/>
          <w:iCs/>
        </w:rPr>
        <w:t xml:space="preserve">Charles Gard and Others </w:t>
      </w:r>
      <w:r w:rsidRPr="00CE1E08" w:rsidR="00CE1E08">
        <w:t>v</w:t>
      </w:r>
      <w:r w:rsidRPr="00CE1E08" w:rsidR="00CE1E08">
        <w:rPr>
          <w:i/>
          <w:iCs/>
        </w:rPr>
        <w:t xml:space="preserve"> United Kingdom</w:t>
      </w:r>
      <w:r w:rsidR="00CE1E08">
        <w:t xml:space="preserve"> [2017] Application no. 39793/17; </w:t>
      </w:r>
      <w:r w:rsidRPr="000449E0" w:rsidR="000449E0">
        <w:rPr>
          <w:i/>
          <w:iCs/>
        </w:rPr>
        <w:t xml:space="preserve">GOSH </w:t>
      </w:r>
      <w:r w:rsidRPr="000449E0" w:rsidR="000449E0">
        <w:t>v</w:t>
      </w:r>
      <w:r w:rsidRPr="000449E0" w:rsidR="000449E0">
        <w:rPr>
          <w:i/>
          <w:iCs/>
        </w:rPr>
        <w:t xml:space="preserve"> Gard, Yates and Gard</w:t>
      </w:r>
      <w:r w:rsidR="000449E0">
        <w:t xml:space="preserve"> [2017] EWHC 1909.</w:t>
      </w:r>
    </w:p>
  </w:footnote>
  <w:footnote w:id="11">
    <w:p w:rsidRPr="00C045AC" w:rsidR="00DF0146" w:rsidRDefault="00DF0146" w14:paraId="7B9C5A9D" w14:textId="7B7CBDA8">
      <w:pPr>
        <w:pStyle w:val="FootnoteText"/>
      </w:pPr>
      <w:r w:rsidRPr="00C045AC">
        <w:rPr>
          <w:rStyle w:val="FootnoteReference"/>
        </w:rPr>
        <w:footnoteRef/>
      </w:r>
      <w:r w:rsidRPr="00C045AC">
        <w:t xml:space="preserve"> </w:t>
      </w:r>
      <w:r w:rsidRPr="00B15CA4" w:rsidR="00B15CA4">
        <w:rPr>
          <w:i/>
          <w:iCs/>
        </w:rPr>
        <w:t>A</w:t>
      </w:r>
      <w:r w:rsidRPr="00B15CA4" w:rsidR="0047605F">
        <w:rPr>
          <w:i/>
          <w:iCs/>
        </w:rPr>
        <w:t xml:space="preserve">lder Hey Children’s NHS Foundation Trust </w:t>
      </w:r>
      <w:r w:rsidRPr="00B15CA4" w:rsidR="0047605F">
        <w:t>v</w:t>
      </w:r>
      <w:r w:rsidRPr="00B15CA4" w:rsidR="0047605F">
        <w:rPr>
          <w:i/>
          <w:iCs/>
        </w:rPr>
        <w:t xml:space="preserve"> Evans</w:t>
      </w:r>
      <w:r w:rsidR="0047605F">
        <w:t xml:space="preserve"> [2018] EWHC 308</w:t>
      </w:r>
      <w:r w:rsidRPr="009E1F6D" w:rsidR="00B15CA4">
        <w:rPr>
          <w:i/>
          <w:iCs/>
        </w:rPr>
        <w:t xml:space="preserve">; </w:t>
      </w:r>
      <w:r w:rsidRPr="009E1F6D" w:rsidR="009E1F6D">
        <w:rPr>
          <w:i/>
          <w:iCs/>
        </w:rPr>
        <w:t>In the Matter of E (A Child)</w:t>
      </w:r>
      <w:r w:rsidR="009E1F6D">
        <w:t xml:space="preserve"> [2018] EWCA Civ 550</w:t>
      </w:r>
      <w:r w:rsidR="00F230CE">
        <w:t xml:space="preserve">; </w:t>
      </w:r>
      <w:r w:rsidRPr="00F230CE" w:rsidR="00F230CE">
        <w:rPr>
          <w:i/>
          <w:iCs/>
        </w:rPr>
        <w:t>Alder Hey Children’s NHS Foundation Trust</w:t>
      </w:r>
      <w:r w:rsidRPr="00F230CE" w:rsidR="00F230CE">
        <w:t xml:space="preserve"> v</w:t>
      </w:r>
      <w:r w:rsidRPr="00F230CE" w:rsidR="00F230CE">
        <w:rPr>
          <w:i/>
          <w:iCs/>
        </w:rPr>
        <w:t xml:space="preserve"> Evans</w:t>
      </w:r>
      <w:r w:rsidR="00F230CE">
        <w:t xml:space="preserve"> [2018] EWHC 818</w:t>
      </w:r>
      <w:r w:rsidR="005C1A65">
        <w:t>;</w:t>
      </w:r>
      <w:r w:rsidRPr="00011DF7" w:rsidR="005C1A65">
        <w:rPr>
          <w:i/>
          <w:iCs/>
        </w:rPr>
        <w:t xml:space="preserve"> Evans </w:t>
      </w:r>
      <w:r w:rsidRPr="00011DF7" w:rsidR="005C1A65">
        <w:t>v</w:t>
      </w:r>
      <w:r w:rsidRPr="00011DF7" w:rsidR="005C1A65">
        <w:rPr>
          <w:i/>
          <w:iCs/>
        </w:rPr>
        <w:t xml:space="preserve"> Alder Hey Children’s NHS Foundation Trust </w:t>
      </w:r>
      <w:r w:rsidR="005C1A65">
        <w:t>[2018]</w:t>
      </w:r>
      <w:r w:rsidR="00FB638F">
        <w:t xml:space="preserve"> EWCA Civ</w:t>
      </w:r>
      <w:r w:rsidR="00011DF7">
        <w:t xml:space="preserve"> </w:t>
      </w:r>
      <w:r w:rsidR="00FB638F">
        <w:t xml:space="preserve">805; </w:t>
      </w:r>
      <w:r w:rsidRPr="005829AD" w:rsidR="005829AD">
        <w:rPr>
          <w:i/>
          <w:iCs/>
        </w:rPr>
        <w:t>Alder Hey Children’s NHS Foundation Trust</w:t>
      </w:r>
      <w:r w:rsidRPr="005829AD" w:rsidR="005829AD">
        <w:t xml:space="preserve"> v</w:t>
      </w:r>
      <w:r w:rsidRPr="005829AD" w:rsidR="005829AD">
        <w:rPr>
          <w:i/>
          <w:iCs/>
        </w:rPr>
        <w:t xml:space="preserve"> Evans</w:t>
      </w:r>
      <w:r w:rsidR="005829AD">
        <w:t xml:space="preserve"> [2018] EWHC 953</w:t>
      </w:r>
      <w:r w:rsidRPr="00DF10A9" w:rsidR="005829AD">
        <w:rPr>
          <w:i/>
          <w:iCs/>
        </w:rPr>
        <w:t xml:space="preserve">; </w:t>
      </w:r>
      <w:r w:rsidRPr="00DF10A9" w:rsidR="00DF10A9">
        <w:rPr>
          <w:i/>
          <w:iCs/>
        </w:rPr>
        <w:t xml:space="preserve">Evans </w:t>
      </w:r>
      <w:r w:rsidRPr="00DF10A9" w:rsidR="00DF10A9">
        <w:t>v</w:t>
      </w:r>
      <w:r w:rsidRPr="00DF10A9" w:rsidR="00DF10A9">
        <w:rPr>
          <w:i/>
          <w:iCs/>
        </w:rPr>
        <w:t xml:space="preserve"> Alder Hey Children’s NHS Foundation Trust</w:t>
      </w:r>
      <w:r w:rsidR="00DF10A9">
        <w:t xml:space="preserve"> [2018] EWCA Civ 984.</w:t>
      </w:r>
    </w:p>
  </w:footnote>
  <w:footnote w:id="12">
    <w:p w:rsidRPr="00C045AC" w:rsidR="00DF0146" w:rsidP="00483E6B" w:rsidRDefault="00DF0146" w14:paraId="10755642" w14:textId="043D4449">
      <w:pPr>
        <w:rPr>
          <w:sz w:val="20"/>
          <w:szCs w:val="20"/>
          <w:u w:val="single"/>
        </w:rPr>
      </w:pPr>
      <w:r w:rsidRPr="00C045AC">
        <w:rPr>
          <w:rStyle w:val="FootnoteReference"/>
          <w:sz w:val="20"/>
          <w:szCs w:val="20"/>
        </w:rPr>
        <w:footnoteRef/>
      </w:r>
      <w:r w:rsidRPr="00C045AC" w:rsidR="00483E6B">
        <w:rPr>
          <w:sz w:val="20"/>
          <w:szCs w:val="20"/>
        </w:rPr>
        <w:t xml:space="preserve"> Neera Bhatia, </w:t>
      </w:r>
      <w:r w:rsidRPr="00C045AC" w:rsidR="00AE1EC5">
        <w:rPr>
          <w:i/>
          <w:iCs/>
          <w:sz w:val="20"/>
          <w:szCs w:val="20"/>
        </w:rPr>
        <w:t>Disagreements</w:t>
      </w:r>
      <w:r w:rsidRPr="00C045AC" w:rsidR="00AE1EC5">
        <w:rPr>
          <w:sz w:val="20"/>
          <w:szCs w:val="20"/>
        </w:rPr>
        <w:t xml:space="preserve"> </w:t>
      </w:r>
      <w:r w:rsidRPr="00C045AC" w:rsidR="00483E6B">
        <w:rPr>
          <w:i/>
          <w:iCs/>
          <w:sz w:val="20"/>
          <w:szCs w:val="20"/>
        </w:rPr>
        <w:t xml:space="preserve">in the </w:t>
      </w:r>
      <w:r w:rsidR="00423329">
        <w:rPr>
          <w:i/>
          <w:iCs/>
          <w:sz w:val="20"/>
          <w:szCs w:val="20"/>
        </w:rPr>
        <w:t>C</w:t>
      </w:r>
      <w:r w:rsidRPr="00C045AC" w:rsidR="00483E6B">
        <w:rPr>
          <w:i/>
          <w:iCs/>
          <w:sz w:val="20"/>
          <w:szCs w:val="20"/>
        </w:rPr>
        <w:t xml:space="preserve">are of </w:t>
      </w:r>
      <w:r w:rsidR="00423329">
        <w:rPr>
          <w:i/>
          <w:iCs/>
          <w:sz w:val="20"/>
          <w:szCs w:val="20"/>
        </w:rPr>
        <w:t>C</w:t>
      </w:r>
      <w:r w:rsidRPr="00C045AC" w:rsidR="00483E6B">
        <w:rPr>
          <w:i/>
          <w:iCs/>
          <w:sz w:val="20"/>
          <w:szCs w:val="20"/>
        </w:rPr>
        <w:t xml:space="preserve">ritically </w:t>
      </w:r>
      <w:r w:rsidR="00423329">
        <w:rPr>
          <w:i/>
          <w:iCs/>
          <w:sz w:val="20"/>
          <w:szCs w:val="20"/>
        </w:rPr>
        <w:t>I</w:t>
      </w:r>
      <w:r w:rsidRPr="00C045AC" w:rsidR="00483E6B">
        <w:rPr>
          <w:i/>
          <w:iCs/>
          <w:sz w:val="20"/>
          <w:szCs w:val="20"/>
        </w:rPr>
        <w:t xml:space="preserve">ll </w:t>
      </w:r>
      <w:r w:rsidR="00423329">
        <w:rPr>
          <w:i/>
          <w:iCs/>
          <w:sz w:val="20"/>
          <w:szCs w:val="20"/>
        </w:rPr>
        <w:t>C</w:t>
      </w:r>
      <w:r w:rsidRPr="00C045AC" w:rsidR="00483E6B">
        <w:rPr>
          <w:i/>
          <w:iCs/>
          <w:sz w:val="20"/>
          <w:szCs w:val="20"/>
        </w:rPr>
        <w:t xml:space="preserve">hildren: </w:t>
      </w:r>
      <w:r w:rsidRPr="00C045AC" w:rsidR="00AE1EC5">
        <w:rPr>
          <w:i/>
          <w:iCs/>
          <w:sz w:val="20"/>
          <w:szCs w:val="20"/>
        </w:rPr>
        <w:t>E</w:t>
      </w:r>
      <w:r w:rsidRPr="00C045AC" w:rsidR="00483E6B">
        <w:rPr>
          <w:i/>
          <w:iCs/>
          <w:sz w:val="20"/>
          <w:szCs w:val="20"/>
        </w:rPr>
        <w:t>merging</w:t>
      </w:r>
      <w:r w:rsidR="00423329">
        <w:rPr>
          <w:i/>
          <w:iCs/>
          <w:sz w:val="20"/>
          <w:szCs w:val="20"/>
        </w:rPr>
        <w:t xml:space="preserve"> I</w:t>
      </w:r>
      <w:r w:rsidRPr="00C045AC" w:rsidR="00483E6B">
        <w:rPr>
          <w:i/>
          <w:iCs/>
          <w:sz w:val="20"/>
          <w:szCs w:val="20"/>
        </w:rPr>
        <w:t xml:space="preserve">ssues in a </w:t>
      </w:r>
      <w:r w:rsidR="00423329">
        <w:rPr>
          <w:i/>
          <w:iCs/>
          <w:sz w:val="20"/>
          <w:szCs w:val="20"/>
        </w:rPr>
        <w:t>C</w:t>
      </w:r>
      <w:r w:rsidRPr="00C045AC" w:rsidR="00483E6B">
        <w:rPr>
          <w:i/>
          <w:iCs/>
          <w:sz w:val="20"/>
          <w:szCs w:val="20"/>
        </w:rPr>
        <w:t xml:space="preserve">hanging </w:t>
      </w:r>
      <w:r w:rsidR="00423329">
        <w:rPr>
          <w:i/>
          <w:iCs/>
          <w:sz w:val="20"/>
          <w:szCs w:val="20"/>
        </w:rPr>
        <w:t>L</w:t>
      </w:r>
      <w:r w:rsidRPr="00C045AC" w:rsidR="00483E6B">
        <w:rPr>
          <w:i/>
          <w:iCs/>
          <w:sz w:val="20"/>
          <w:szCs w:val="20"/>
        </w:rPr>
        <w:t>andscape</w:t>
      </w:r>
      <w:r w:rsidRPr="00C045AC" w:rsidR="00483E6B">
        <w:rPr>
          <w:sz w:val="20"/>
          <w:szCs w:val="20"/>
        </w:rPr>
        <w:t xml:space="preserve"> (2018) Nuffield Council on Bioethics; </w:t>
      </w:r>
      <w:r w:rsidRPr="00C045AC" w:rsidR="000357BC">
        <w:rPr>
          <w:sz w:val="20"/>
          <w:szCs w:val="20"/>
        </w:rPr>
        <w:t>Louise</w:t>
      </w:r>
      <w:r w:rsidRPr="00C045AC">
        <w:rPr>
          <w:sz w:val="20"/>
          <w:szCs w:val="20"/>
        </w:rPr>
        <w:t xml:space="preserve"> </w:t>
      </w:r>
      <w:r w:rsidRPr="00C045AC" w:rsidR="000357BC">
        <w:rPr>
          <w:sz w:val="20"/>
          <w:szCs w:val="20"/>
        </w:rPr>
        <w:t xml:space="preserve">Austin, </w:t>
      </w:r>
      <w:r w:rsidRPr="00C045AC" w:rsidR="000357BC">
        <w:rPr>
          <w:i/>
          <w:iCs/>
          <w:sz w:val="20"/>
          <w:szCs w:val="20"/>
        </w:rPr>
        <w:t xml:space="preserve">UK Processes for </w:t>
      </w:r>
      <w:r w:rsidR="00423329">
        <w:rPr>
          <w:i/>
          <w:iCs/>
          <w:sz w:val="20"/>
          <w:szCs w:val="20"/>
        </w:rPr>
        <w:t>R</w:t>
      </w:r>
      <w:r w:rsidRPr="00C045AC" w:rsidR="000357BC">
        <w:rPr>
          <w:i/>
          <w:iCs/>
          <w:sz w:val="20"/>
          <w:szCs w:val="20"/>
        </w:rPr>
        <w:t xml:space="preserve">esolution of </w:t>
      </w:r>
      <w:r w:rsidR="00423329">
        <w:rPr>
          <w:i/>
          <w:iCs/>
          <w:sz w:val="20"/>
          <w:szCs w:val="20"/>
        </w:rPr>
        <w:t>D</w:t>
      </w:r>
      <w:r w:rsidRPr="00C045AC" w:rsidR="000357BC">
        <w:rPr>
          <w:i/>
          <w:iCs/>
          <w:sz w:val="20"/>
          <w:szCs w:val="20"/>
        </w:rPr>
        <w:t xml:space="preserve">isagreements about the </w:t>
      </w:r>
      <w:r w:rsidR="00423329">
        <w:rPr>
          <w:i/>
          <w:iCs/>
          <w:sz w:val="20"/>
          <w:szCs w:val="20"/>
        </w:rPr>
        <w:t>C</w:t>
      </w:r>
      <w:r w:rsidRPr="00C045AC" w:rsidR="000357BC">
        <w:rPr>
          <w:i/>
          <w:iCs/>
          <w:sz w:val="20"/>
          <w:szCs w:val="20"/>
        </w:rPr>
        <w:t xml:space="preserve">are of </w:t>
      </w:r>
      <w:r w:rsidR="00423329">
        <w:rPr>
          <w:i/>
          <w:iCs/>
          <w:sz w:val="20"/>
          <w:szCs w:val="20"/>
        </w:rPr>
        <w:t>C</w:t>
      </w:r>
      <w:r w:rsidRPr="00C045AC" w:rsidR="000357BC">
        <w:rPr>
          <w:i/>
          <w:iCs/>
          <w:sz w:val="20"/>
          <w:szCs w:val="20"/>
        </w:rPr>
        <w:t xml:space="preserve">ritically </w:t>
      </w:r>
      <w:r w:rsidR="00423329">
        <w:rPr>
          <w:i/>
          <w:iCs/>
          <w:sz w:val="20"/>
          <w:szCs w:val="20"/>
        </w:rPr>
        <w:t>I</w:t>
      </w:r>
      <w:r w:rsidRPr="00C045AC" w:rsidR="000357BC">
        <w:rPr>
          <w:i/>
          <w:iCs/>
          <w:sz w:val="20"/>
          <w:szCs w:val="20"/>
        </w:rPr>
        <w:t xml:space="preserve">ll </w:t>
      </w:r>
      <w:r w:rsidR="00423329">
        <w:rPr>
          <w:i/>
          <w:iCs/>
          <w:sz w:val="20"/>
          <w:szCs w:val="20"/>
        </w:rPr>
        <w:t>C</w:t>
      </w:r>
      <w:r w:rsidRPr="00C045AC" w:rsidR="000357BC">
        <w:rPr>
          <w:i/>
          <w:iCs/>
          <w:sz w:val="20"/>
          <w:szCs w:val="20"/>
        </w:rPr>
        <w:t xml:space="preserve">hildren </w:t>
      </w:r>
      <w:r w:rsidRPr="00C045AC" w:rsidR="000357BC">
        <w:rPr>
          <w:sz w:val="20"/>
          <w:szCs w:val="20"/>
        </w:rPr>
        <w:t>(2018) Nuffield Council on Bioethics</w:t>
      </w:r>
      <w:r w:rsidRPr="00C045AC" w:rsidR="00483E6B">
        <w:rPr>
          <w:sz w:val="20"/>
          <w:szCs w:val="20"/>
        </w:rPr>
        <w:t>.</w:t>
      </w:r>
    </w:p>
  </w:footnote>
  <w:footnote w:id="13">
    <w:p w:rsidR="00DF0146" w:rsidP="006A4D15" w:rsidRDefault="00DF0146" w14:paraId="04526F8C" w14:textId="278BC894">
      <w:pPr>
        <w:pStyle w:val="FootnoteText"/>
        <w:tabs>
          <w:tab w:val="left" w:pos="940"/>
        </w:tabs>
      </w:pPr>
      <w:r w:rsidRPr="00C045AC">
        <w:rPr>
          <w:rStyle w:val="FootnoteReference"/>
        </w:rPr>
        <w:footnoteRef/>
      </w:r>
      <w:r w:rsidR="00836634">
        <w:t xml:space="preserve"> ibid</w:t>
      </w:r>
      <w:r>
        <w:t xml:space="preserve"> </w:t>
      </w:r>
      <w:r w:rsidRPr="00C045AC" w:rsidR="006A4D15">
        <w:t>Bhatia</w:t>
      </w:r>
      <w:r w:rsidRPr="0059787A" w:rsidR="006A4D15">
        <w:t xml:space="preserve">, </w:t>
      </w:r>
      <w:r w:rsidRPr="0059787A" w:rsidR="009A150F">
        <w:t xml:space="preserve">The definition of child medical tourism used by Bhatia is </w:t>
      </w:r>
      <w:r w:rsidRPr="0059787A" w:rsidR="007E32BD">
        <w:t>‘</w:t>
      </w:r>
      <w:r w:rsidRPr="0059787A" w:rsidR="009A150F">
        <w:t xml:space="preserve">bi-directional movement of children </w:t>
      </w:r>
      <w:r w:rsidRPr="0059787A" w:rsidR="001807B1">
        <w:t>(&lt;18 years of age)</w:t>
      </w:r>
      <w:r w:rsidRPr="0059787A" w:rsidR="0050799C">
        <w:t xml:space="preserve"> to and from a country to seek advice, diagnosis and treatments’ </w:t>
      </w:r>
      <w:r w:rsidRPr="0059787A" w:rsidR="0084630C">
        <w:t>18.</w:t>
      </w:r>
    </w:p>
  </w:footnote>
  <w:footnote w:id="14">
    <w:p w:rsidR="00B23DBE" w:rsidRDefault="00B23DBE" w14:paraId="58C19223" w14:textId="2AA25EE3">
      <w:pPr>
        <w:pStyle w:val="FootnoteText"/>
      </w:pPr>
      <w:r>
        <w:rPr>
          <w:rStyle w:val="FootnoteReference"/>
        </w:rPr>
        <w:footnoteRef/>
      </w:r>
      <w:r>
        <w:t xml:space="preserve"> </w:t>
      </w:r>
      <w:r w:rsidRPr="00C045AC" w:rsidR="001D68FD">
        <w:t xml:space="preserve"> Austin</w:t>
      </w:r>
      <w:r w:rsidR="00A77B0C">
        <w:t xml:space="preserve"> (n11) </w:t>
      </w:r>
      <w:r w:rsidR="00545591">
        <w:t>3.</w:t>
      </w:r>
    </w:p>
  </w:footnote>
  <w:footnote w:id="15">
    <w:p w:rsidR="00A576DF" w:rsidRDefault="00A576DF" w14:paraId="59096724" w14:textId="3B46C679">
      <w:pPr>
        <w:pStyle w:val="FootnoteText"/>
      </w:pPr>
      <w:r>
        <w:rPr>
          <w:rStyle w:val="FootnoteReference"/>
        </w:rPr>
        <w:footnoteRef/>
      </w:r>
      <w:r>
        <w:t xml:space="preserve"> </w:t>
      </w:r>
      <w:r w:rsidR="00945DE6">
        <w:t>i</w:t>
      </w:r>
      <w:r w:rsidR="00A77B0C">
        <w:t xml:space="preserve">bid </w:t>
      </w:r>
      <w:r>
        <w:t>21.</w:t>
      </w:r>
    </w:p>
  </w:footnote>
  <w:footnote w:id="16">
    <w:p w:rsidRPr="00C65FE7" w:rsidR="002047A5" w:rsidRDefault="002047A5" w14:paraId="11CBE905" w14:textId="727F18B2">
      <w:pPr>
        <w:pStyle w:val="FootnoteText"/>
        <w:rPr>
          <w:rFonts w:cstheme="minorHAnsi"/>
        </w:rPr>
      </w:pPr>
      <w:r w:rsidRPr="00C65FE7">
        <w:rPr>
          <w:rStyle w:val="FootnoteReference"/>
          <w:rFonts w:cstheme="minorHAnsi"/>
        </w:rPr>
        <w:footnoteRef/>
      </w:r>
      <w:r w:rsidRPr="00C65FE7">
        <w:rPr>
          <w:rFonts w:cstheme="minorHAnsi"/>
        </w:rPr>
        <w:t xml:space="preserve"> </w:t>
      </w:r>
      <w:r w:rsidRPr="00C65FE7" w:rsidR="00BE56EF">
        <w:rPr>
          <w:rFonts w:cstheme="minorHAnsi"/>
        </w:rPr>
        <w:t xml:space="preserve">Nuffield Council on Bioethics, </w:t>
      </w:r>
      <w:r w:rsidRPr="00C65FE7" w:rsidR="00BE56EF">
        <w:rPr>
          <w:rFonts w:cstheme="minorHAnsi"/>
          <w:i/>
          <w:iCs/>
        </w:rPr>
        <w:t xml:space="preserve">Bioethics Briefing Note – Disagreements in the Care of Critically Ill Children </w:t>
      </w:r>
      <w:r w:rsidRPr="00C65FE7" w:rsidR="00BE56EF">
        <w:rPr>
          <w:rFonts w:cstheme="minorHAnsi"/>
        </w:rPr>
        <w:t>(2019)</w:t>
      </w:r>
      <w:r w:rsidRPr="00C65FE7" w:rsidR="00AB4422">
        <w:rPr>
          <w:rFonts w:cstheme="minorHAnsi"/>
        </w:rPr>
        <w:t xml:space="preserve"> 6-7.</w:t>
      </w:r>
    </w:p>
  </w:footnote>
  <w:footnote w:id="17">
    <w:p w:rsidRPr="006032E9" w:rsidR="004467A5" w:rsidP="006032E9" w:rsidRDefault="004467A5" w14:paraId="3CD09EFE" w14:textId="37E6FBA7">
      <w:pPr>
        <w:rPr>
          <w:sz w:val="24"/>
          <w:szCs w:val="24"/>
        </w:rPr>
      </w:pPr>
      <w:r>
        <w:rPr>
          <w:rStyle w:val="FootnoteReference"/>
        </w:rPr>
        <w:footnoteRef/>
      </w:r>
      <w:r>
        <w:t xml:space="preserve"> </w:t>
      </w:r>
      <w:r w:rsidRPr="006032E9" w:rsidR="006032E9">
        <w:rPr>
          <w:sz w:val="20"/>
          <w:szCs w:val="20"/>
        </w:rPr>
        <w:t>C</w:t>
      </w:r>
      <w:r w:rsidR="00DE27A2">
        <w:rPr>
          <w:sz w:val="20"/>
          <w:szCs w:val="20"/>
        </w:rPr>
        <w:t>eit</w:t>
      </w:r>
      <w:r w:rsidRPr="006032E9" w:rsidR="006032E9">
        <w:rPr>
          <w:sz w:val="20"/>
          <w:szCs w:val="20"/>
        </w:rPr>
        <w:t xml:space="preserve"> Jesmont et al, ‘Prevalence and Sources of Tension in Paediatric Inpatient Care’ (2021) 106(12) Arch Dis</w:t>
      </w:r>
      <w:r w:rsidR="004B55EB">
        <w:rPr>
          <w:sz w:val="20"/>
          <w:szCs w:val="20"/>
        </w:rPr>
        <w:t xml:space="preserve"> Child 1238.</w:t>
      </w:r>
    </w:p>
  </w:footnote>
  <w:footnote w:id="18">
    <w:p w:rsidRPr="00D7279A" w:rsidR="00C915D9" w:rsidP="00D7279A" w:rsidRDefault="00B958E3" w14:paraId="5A4E3769" w14:textId="617ADA90">
      <w:pPr>
        <w:rPr>
          <w:sz w:val="24"/>
          <w:szCs w:val="24"/>
        </w:rPr>
      </w:pPr>
      <w:r>
        <w:t xml:space="preserve"> </w:t>
      </w:r>
      <w:r w:rsidR="00C915D9">
        <w:rPr>
          <w:rStyle w:val="FootnoteReference"/>
        </w:rPr>
        <w:footnoteRef/>
      </w:r>
      <w:r w:rsidR="00C915D9">
        <w:t xml:space="preserve"> </w:t>
      </w:r>
      <w:r w:rsidRPr="00D7279A" w:rsidR="00D7279A">
        <w:rPr>
          <w:sz w:val="20"/>
          <w:szCs w:val="20"/>
        </w:rPr>
        <w:t>M</w:t>
      </w:r>
      <w:r w:rsidR="00816D43">
        <w:rPr>
          <w:sz w:val="20"/>
          <w:szCs w:val="20"/>
        </w:rPr>
        <w:t>arie-</w:t>
      </w:r>
      <w:r w:rsidRPr="00D7279A" w:rsidR="00D7279A">
        <w:rPr>
          <w:sz w:val="20"/>
          <w:szCs w:val="20"/>
        </w:rPr>
        <w:t>A</w:t>
      </w:r>
      <w:r w:rsidR="00816D43">
        <w:rPr>
          <w:sz w:val="20"/>
          <w:szCs w:val="20"/>
        </w:rPr>
        <w:t>nne</w:t>
      </w:r>
      <w:r w:rsidRPr="00D7279A" w:rsidR="00D7279A">
        <w:rPr>
          <w:sz w:val="20"/>
          <w:szCs w:val="20"/>
        </w:rPr>
        <w:t xml:space="preserve"> Archambault-Grenier et al, ‘Survey highlights the need for specific interventions to reduce frequent conflicts between healthcare professionals providing paediatric end-of-life care’ (2017) 107 Acta Paediatrica 262</w:t>
      </w:r>
      <w:r w:rsidR="002C151F">
        <w:rPr>
          <w:sz w:val="20"/>
          <w:szCs w:val="20"/>
        </w:rPr>
        <w:t>, 264.</w:t>
      </w:r>
    </w:p>
  </w:footnote>
  <w:footnote w:id="19">
    <w:p w:rsidRPr="00D4187C" w:rsidR="00D4187C" w:rsidP="00D4187C" w:rsidRDefault="005674CD" w14:paraId="4C6182EE" w14:textId="06396BAD">
      <w:pPr>
        <w:rPr>
          <w:sz w:val="20"/>
          <w:szCs w:val="20"/>
        </w:rPr>
      </w:pPr>
      <w:r>
        <w:rPr>
          <w:rStyle w:val="FootnoteReference"/>
        </w:rPr>
        <w:footnoteRef/>
      </w:r>
      <w:r>
        <w:t xml:space="preserve"> </w:t>
      </w:r>
      <w:r w:rsidRPr="00D4187C" w:rsidR="00D4187C">
        <w:rPr>
          <w:i/>
          <w:iCs/>
          <w:sz w:val="20"/>
          <w:szCs w:val="20"/>
        </w:rPr>
        <w:t>Tafida Raqeeb v Barts NHS Foundation Trust</w:t>
      </w:r>
      <w:r w:rsidRPr="00D4187C" w:rsidR="00D4187C">
        <w:rPr>
          <w:sz w:val="20"/>
          <w:szCs w:val="20"/>
        </w:rPr>
        <w:t xml:space="preserve"> [2019] EWHC 2531 (admin)</w:t>
      </w:r>
      <w:r w:rsidR="00D4187C">
        <w:rPr>
          <w:sz w:val="20"/>
          <w:szCs w:val="20"/>
        </w:rPr>
        <w:t xml:space="preserve">; </w:t>
      </w:r>
      <w:r w:rsidRPr="00D4187C" w:rsidR="00D4187C">
        <w:rPr>
          <w:i/>
          <w:iCs/>
          <w:sz w:val="20"/>
          <w:szCs w:val="20"/>
        </w:rPr>
        <w:t>Barts NHS Foundation Trust v Shalina Begum and Muhhamed Raqeeb and Taifa Raqeeb</w:t>
      </w:r>
      <w:r w:rsidRPr="00D4187C" w:rsidR="00D4187C">
        <w:rPr>
          <w:sz w:val="20"/>
          <w:szCs w:val="20"/>
        </w:rPr>
        <w:t xml:space="preserve"> [2019] EWHC 2530 (fam)</w:t>
      </w:r>
      <w:r w:rsidR="00F366BA">
        <w:rPr>
          <w:sz w:val="20"/>
          <w:szCs w:val="20"/>
        </w:rPr>
        <w:t>.</w:t>
      </w:r>
    </w:p>
  </w:footnote>
  <w:footnote w:id="20">
    <w:p w:rsidRPr="008D249F" w:rsidR="00974FCA" w:rsidP="008D249F" w:rsidRDefault="00974FCA" w14:paraId="41167B36" w14:textId="3A31092A">
      <w:pPr>
        <w:rPr>
          <w:sz w:val="20"/>
          <w:szCs w:val="20"/>
        </w:rPr>
      </w:pPr>
      <w:r>
        <w:rPr>
          <w:rStyle w:val="FootnoteReference"/>
        </w:rPr>
        <w:footnoteRef/>
      </w:r>
      <w:r>
        <w:t xml:space="preserve"> </w:t>
      </w:r>
      <w:r w:rsidRPr="008D249F" w:rsidR="008D249F">
        <w:rPr>
          <w:i/>
          <w:iCs/>
          <w:sz w:val="20"/>
          <w:szCs w:val="20"/>
        </w:rPr>
        <w:t>Guy’s and St Thomas’s Children’s NHS Foundation Trust v Knight</w:t>
      </w:r>
      <w:r w:rsidRPr="008D249F" w:rsidR="008D249F">
        <w:rPr>
          <w:sz w:val="20"/>
          <w:szCs w:val="20"/>
        </w:rPr>
        <w:t xml:space="preserve"> [2021] EWHC 25</w:t>
      </w:r>
      <w:r w:rsidR="008D249F">
        <w:rPr>
          <w:sz w:val="20"/>
          <w:szCs w:val="20"/>
        </w:rPr>
        <w:t xml:space="preserve">; </w:t>
      </w:r>
      <w:r w:rsidRPr="008D249F" w:rsidR="008D249F">
        <w:rPr>
          <w:i/>
          <w:iCs/>
          <w:sz w:val="20"/>
          <w:szCs w:val="20"/>
        </w:rPr>
        <w:t>In the Matter of Pippa Knight (A Child)</w:t>
      </w:r>
      <w:r w:rsidRPr="008D249F" w:rsidR="008D249F">
        <w:rPr>
          <w:sz w:val="20"/>
          <w:szCs w:val="20"/>
        </w:rPr>
        <w:t xml:space="preserve"> [2021] EWCA Civ 362</w:t>
      </w:r>
      <w:r w:rsidR="00F366BA">
        <w:rPr>
          <w:sz w:val="20"/>
          <w:szCs w:val="20"/>
        </w:rPr>
        <w:t>.</w:t>
      </w:r>
    </w:p>
  </w:footnote>
  <w:footnote w:id="21">
    <w:p w:rsidRPr="002F3760" w:rsidR="00974FCA" w:rsidP="002F3760" w:rsidRDefault="00974FCA" w14:paraId="491FFDCB" w14:textId="0C2A3464">
      <w:pPr>
        <w:rPr>
          <w:sz w:val="20"/>
          <w:szCs w:val="20"/>
        </w:rPr>
      </w:pPr>
      <w:r>
        <w:rPr>
          <w:rStyle w:val="FootnoteReference"/>
        </w:rPr>
        <w:footnoteRef/>
      </w:r>
      <w:r>
        <w:t xml:space="preserve"> </w:t>
      </w:r>
      <w:r w:rsidRPr="002F3760" w:rsidR="002F3760">
        <w:rPr>
          <w:i/>
          <w:iCs/>
          <w:sz w:val="20"/>
          <w:szCs w:val="20"/>
        </w:rPr>
        <w:t>Manchester University NHS Foundation Trust v Fixsler</w:t>
      </w:r>
      <w:r w:rsidRPr="002F3760" w:rsidR="002F3760">
        <w:rPr>
          <w:sz w:val="20"/>
          <w:szCs w:val="20"/>
        </w:rPr>
        <w:t xml:space="preserve"> [2021] EWHC 1426</w:t>
      </w:r>
      <w:r w:rsidR="002F3760">
        <w:rPr>
          <w:sz w:val="20"/>
          <w:szCs w:val="20"/>
        </w:rPr>
        <w:t xml:space="preserve">; </w:t>
      </w:r>
      <w:r w:rsidRPr="002F3760" w:rsidR="002F3760">
        <w:rPr>
          <w:i/>
          <w:iCs/>
          <w:sz w:val="20"/>
          <w:szCs w:val="20"/>
        </w:rPr>
        <w:t>In the Matter of Alta Fixsler</w:t>
      </w:r>
      <w:r w:rsidRPr="002F3760" w:rsidR="002F3760">
        <w:rPr>
          <w:sz w:val="20"/>
          <w:szCs w:val="20"/>
        </w:rPr>
        <w:t xml:space="preserve"> [2021] EWCA Civ 1018</w:t>
      </w:r>
    </w:p>
  </w:footnote>
  <w:footnote w:id="22">
    <w:p w:rsidRPr="00672A03" w:rsidR="00974FCA" w:rsidP="00672A03" w:rsidRDefault="00974FCA" w14:paraId="5709F557" w14:textId="56BB8A34">
      <w:pPr>
        <w:rPr>
          <w:sz w:val="20"/>
          <w:szCs w:val="20"/>
        </w:rPr>
      </w:pPr>
      <w:r>
        <w:rPr>
          <w:rStyle w:val="FootnoteReference"/>
        </w:rPr>
        <w:footnoteRef/>
      </w:r>
      <w:r w:rsidR="00672A03">
        <w:t xml:space="preserve"> </w:t>
      </w:r>
      <w:r w:rsidRPr="00672A03" w:rsidR="00672A03">
        <w:rPr>
          <w:i/>
          <w:iCs/>
          <w:sz w:val="20"/>
          <w:szCs w:val="20"/>
        </w:rPr>
        <w:t>Manchester University NHS Foundation Trust v William Verden &amp; Amy McLennan</w:t>
      </w:r>
      <w:r w:rsidRPr="00672A03" w:rsidR="00672A03">
        <w:rPr>
          <w:sz w:val="20"/>
          <w:szCs w:val="20"/>
        </w:rPr>
        <w:t xml:space="preserve"> [2022] EWCOP 9.</w:t>
      </w:r>
    </w:p>
  </w:footnote>
  <w:footnote w:id="23">
    <w:p w:rsidRPr="00BD27E0" w:rsidR="00974FCA" w:rsidP="00BD27E0" w:rsidRDefault="00974FCA" w14:paraId="439EECB1" w14:textId="2E3B576E">
      <w:pPr>
        <w:rPr>
          <w:color w:val="00B050"/>
          <w:u w:val="single"/>
        </w:rPr>
      </w:pPr>
      <w:r>
        <w:rPr>
          <w:rStyle w:val="FootnoteReference"/>
        </w:rPr>
        <w:footnoteRef/>
      </w:r>
      <w:r>
        <w:t xml:space="preserve"> </w:t>
      </w:r>
      <w:r w:rsidRPr="008969FB" w:rsidR="008969FB">
        <w:rPr>
          <w:i/>
          <w:iCs/>
          <w:sz w:val="20"/>
          <w:szCs w:val="20"/>
        </w:rPr>
        <w:t>Barts Health NHS Trust v Dance</w:t>
      </w:r>
      <w:r w:rsidRPr="008969FB" w:rsidR="008969FB">
        <w:rPr>
          <w:sz w:val="20"/>
          <w:szCs w:val="20"/>
        </w:rPr>
        <w:t xml:space="preserve"> [2022] EWHC 1165 (Fam</w:t>
      </w:r>
      <w:r w:rsidRPr="002E297E" w:rsidR="008969FB">
        <w:rPr>
          <w:sz w:val="20"/>
          <w:szCs w:val="20"/>
        </w:rPr>
        <w:t xml:space="preserve">); </w:t>
      </w:r>
      <w:r w:rsidRPr="002E297E" w:rsidR="002E297E">
        <w:rPr>
          <w:i/>
          <w:iCs/>
          <w:sz w:val="20"/>
          <w:szCs w:val="20"/>
        </w:rPr>
        <w:t>Barts Health NHS Trust v Hollie Dance &amp; Paul Battersbee &amp; Archie Battersbee</w:t>
      </w:r>
      <w:r w:rsidRPr="002E297E" w:rsidR="002E297E">
        <w:rPr>
          <w:sz w:val="20"/>
          <w:szCs w:val="20"/>
        </w:rPr>
        <w:t xml:space="preserve"> [2022] EWHC 1435 (Fam);</w:t>
      </w:r>
      <w:r w:rsidRPr="00D55C1E" w:rsidR="000B2A13">
        <w:rPr>
          <w:sz w:val="20"/>
          <w:szCs w:val="20"/>
        </w:rPr>
        <w:t xml:space="preserve"> </w:t>
      </w:r>
      <w:r w:rsidRPr="00D55C1E" w:rsidR="00D55C1E">
        <w:rPr>
          <w:i/>
          <w:iCs/>
          <w:sz w:val="20"/>
          <w:szCs w:val="20"/>
        </w:rPr>
        <w:t>Barts Health NHS Trust v Hollie Dance &amp; Paul Battersbee &amp; Archie Battersbee</w:t>
      </w:r>
      <w:r w:rsidRPr="00D55C1E" w:rsidR="00D55C1E">
        <w:rPr>
          <w:sz w:val="20"/>
          <w:szCs w:val="20"/>
        </w:rPr>
        <w:t xml:space="preserve"> [2022] EWCA Civ 935</w:t>
      </w:r>
      <w:r w:rsidR="00D55C1E">
        <w:rPr>
          <w:sz w:val="20"/>
          <w:szCs w:val="20"/>
        </w:rPr>
        <w:t xml:space="preserve">; </w:t>
      </w:r>
    </w:p>
  </w:footnote>
  <w:footnote w:id="24">
    <w:p w:rsidR="009101DF" w:rsidRDefault="009101DF" w14:paraId="3B73A034" w14:textId="7F273857">
      <w:pPr>
        <w:pStyle w:val="FootnoteText"/>
      </w:pPr>
      <w:r>
        <w:rPr>
          <w:rStyle w:val="FootnoteReference"/>
        </w:rPr>
        <w:footnoteRef/>
      </w:r>
      <w:r>
        <w:t xml:space="preserve"> </w:t>
      </w:r>
      <w:r w:rsidRPr="00C045AC" w:rsidR="00D66426">
        <w:t>Bhatia</w:t>
      </w:r>
      <w:r w:rsidR="000C1637">
        <w:t xml:space="preserve"> (n11) </w:t>
      </w:r>
      <w:r w:rsidR="00454C0D">
        <w:t>4.</w:t>
      </w:r>
    </w:p>
  </w:footnote>
  <w:footnote w:id="25">
    <w:p w:rsidR="00FC074C" w:rsidRDefault="00FC074C" w14:paraId="67A20983" w14:textId="40342D09">
      <w:pPr>
        <w:pStyle w:val="FootnoteText"/>
      </w:pPr>
      <w:r>
        <w:rPr>
          <w:rStyle w:val="FootnoteReference"/>
        </w:rPr>
        <w:footnoteRef/>
      </w:r>
      <w:r>
        <w:t xml:space="preserve"> See for example, </w:t>
      </w:r>
      <w:r w:rsidR="007672F3">
        <w:t>Rebecca Limb, ‘</w:t>
      </w:r>
      <w:r w:rsidR="002D3598">
        <w:t xml:space="preserve">Alfie’s Law and Charlie’s Law: Are there alternatives to court battles between parents and hospitals?’ </w:t>
      </w:r>
      <w:r w:rsidR="0083717B">
        <w:t xml:space="preserve">(29 November 2018) </w:t>
      </w:r>
      <w:r w:rsidR="00B118CD">
        <w:t>Lacuna.org.uk</w:t>
      </w:r>
      <w:r w:rsidR="00ED3A63">
        <w:t xml:space="preserve"> &lt;https://lacuna.org.uk/food-and-health</w:t>
      </w:r>
      <w:r w:rsidR="00FF5667">
        <w:t>/alfies-law-and-charlies-law</w:t>
      </w:r>
      <w:r w:rsidR="00542AC6">
        <w:t>-are-there-alternatives</w:t>
      </w:r>
      <w:r w:rsidR="00386CE3">
        <w:t>-to-court-battles-between-parents-and-hospitals&gt; Last accessed 27 March 2023</w:t>
      </w:r>
      <w:r w:rsidR="0058361D">
        <w:t xml:space="preserve">; </w:t>
      </w:r>
      <w:r w:rsidR="00CD62DA">
        <w:t xml:space="preserve">David I Benbow, ‘An Analysis of Charlie’s Law and Alfie’s Law’ </w:t>
      </w:r>
      <w:r w:rsidR="00157229">
        <w:t>(2020) 28(2) Medical Law Review 223.</w:t>
      </w:r>
    </w:p>
  </w:footnote>
  <w:footnote w:id="26">
    <w:p w:rsidR="00BD27E0" w:rsidRDefault="00BD27E0" w14:paraId="15FA0F97" w14:textId="21D56F6E">
      <w:pPr>
        <w:pStyle w:val="FootnoteText"/>
      </w:pPr>
      <w:r>
        <w:rPr>
          <w:rStyle w:val="FootnoteReference"/>
        </w:rPr>
        <w:footnoteRef/>
      </w:r>
      <w:r>
        <w:t xml:space="preserve"> Charlie Gard Foundation</w:t>
      </w:r>
      <w:r w:rsidR="00517FFA">
        <w:t>, ‘Charlie’s L</w:t>
      </w:r>
      <w:r w:rsidR="006C621D">
        <w:t>aw</w:t>
      </w:r>
      <w:r w:rsidR="00517FFA">
        <w:t>’</w:t>
      </w:r>
      <w:r w:rsidR="00EA6EF2">
        <w:t>&lt;</w:t>
      </w:r>
      <w:r w:rsidR="00517FFA">
        <w:t xml:space="preserve"> </w:t>
      </w:r>
      <w:hyperlink w:history="1" r:id="rId1">
        <w:r w:rsidRPr="00EA70D0" w:rsidR="00EA6EF2">
          <w:rPr>
            <w:rStyle w:val="Hyperlink"/>
          </w:rPr>
          <w:t>https://thecharliegardfoundation.org/about/what-is-charlies-law/</w:t>
        </w:r>
      </w:hyperlink>
      <w:r w:rsidR="00EA6EF2">
        <w:t>&gt; Last accessed 2</w:t>
      </w:r>
      <w:r w:rsidR="00E944FF">
        <w:t>7 March 2023.</w:t>
      </w:r>
    </w:p>
  </w:footnote>
  <w:footnote w:id="27">
    <w:p w:rsidR="00773F09" w:rsidP="00773F09" w:rsidRDefault="00773F09" w14:paraId="0F7CF461" w14:textId="77777777">
      <w:pPr>
        <w:pStyle w:val="FootnoteText"/>
      </w:pPr>
      <w:r>
        <w:rPr>
          <w:rStyle w:val="FootnoteReference"/>
        </w:rPr>
        <w:footnoteRef/>
      </w:r>
      <w:r>
        <w:t xml:space="preserve"> Giles Birchley, ‘The Harm Threshold: A View from the Clinic’ in Imogen Goold, Jonathan Herring and Cressida Auckland (eds) </w:t>
      </w:r>
      <w:r w:rsidRPr="00E83732">
        <w:rPr>
          <w:i/>
          <w:iCs/>
        </w:rPr>
        <w:t>Parental Rights, Best Interests and Significant Harms</w:t>
      </w:r>
      <w:r>
        <w:t xml:space="preserve"> (Hart 2019) 107.</w:t>
      </w:r>
    </w:p>
  </w:footnote>
  <w:footnote w:id="28">
    <w:p w:rsidR="00B17A10" w:rsidRDefault="00B17A10" w14:paraId="20DB51B6" w14:textId="7FE089B1">
      <w:pPr>
        <w:pStyle w:val="FootnoteText"/>
      </w:pPr>
      <w:r>
        <w:rPr>
          <w:rStyle w:val="FootnoteReference"/>
        </w:rPr>
        <w:footnoteRef/>
      </w:r>
      <w:r>
        <w:t xml:space="preserve"> </w:t>
      </w:r>
      <w:r w:rsidR="00AB29C3">
        <w:t xml:space="preserve">Initially </w:t>
      </w:r>
      <w:r w:rsidR="004D2748">
        <w:t>A</w:t>
      </w:r>
      <w:r w:rsidR="00AB29C3">
        <w:t xml:space="preserve">mendment 172. </w:t>
      </w:r>
    </w:p>
  </w:footnote>
  <w:footnote w:id="29">
    <w:p w:rsidRPr="00C411A6" w:rsidR="009F38B3" w:rsidRDefault="009F38B3" w14:paraId="63E051B4" w14:textId="7C4AD49B">
      <w:pPr>
        <w:pStyle w:val="FootnoteText"/>
      </w:pPr>
      <w:r w:rsidRPr="00C411A6">
        <w:rPr>
          <w:rStyle w:val="FootnoteReference"/>
        </w:rPr>
        <w:footnoteRef/>
      </w:r>
      <w:r w:rsidRPr="00C411A6">
        <w:t xml:space="preserve"> </w:t>
      </w:r>
      <w:r w:rsidRPr="00C411A6" w:rsidR="00C411A6">
        <w:t xml:space="preserve">Sarah </w:t>
      </w:r>
      <w:r w:rsidRPr="00C411A6" w:rsidR="006F664A">
        <w:rPr>
          <w:color w:val="000000"/>
        </w:rPr>
        <w:t>Barclay</w:t>
      </w:r>
      <w:r w:rsidRPr="00C411A6" w:rsidR="00C411A6">
        <w:rPr>
          <w:color w:val="000000"/>
        </w:rPr>
        <w:t>, ‘</w:t>
      </w:r>
      <w:r w:rsidRPr="00C411A6" w:rsidR="006F664A">
        <w:rPr>
          <w:color w:val="000000"/>
        </w:rPr>
        <w:t>Recognizing and managing conflict between patients, parents and health professionals</w:t>
      </w:r>
      <w:r w:rsidRPr="00C411A6" w:rsidR="00C411A6">
        <w:rPr>
          <w:color w:val="000000"/>
        </w:rPr>
        <w:t>’ (2016) 26(7)</w:t>
      </w:r>
      <w:r w:rsidRPr="00C411A6" w:rsidR="006F664A">
        <w:rPr>
          <w:color w:val="000000"/>
        </w:rPr>
        <w:t> </w:t>
      </w:r>
      <w:r w:rsidRPr="00C411A6" w:rsidR="006F664A">
        <w:rPr>
          <w:rStyle w:val="Emphasis"/>
          <w:i w:val="0"/>
          <w:iCs w:val="0"/>
          <w:color w:val="000000"/>
        </w:rPr>
        <w:t>Paediatrics and Child Health</w:t>
      </w:r>
      <w:r w:rsidRPr="00C411A6" w:rsidR="006F664A">
        <w:rPr>
          <w:color w:val="000000"/>
        </w:rPr>
        <w:t> 314</w:t>
      </w:r>
      <w:r w:rsidRPr="00C411A6" w:rsidR="00C411A6">
        <w:rPr>
          <w:color w:val="000000"/>
        </w:rPr>
        <w:t>.</w:t>
      </w:r>
    </w:p>
  </w:footnote>
  <w:footnote w:id="30">
    <w:p w:rsidR="00A7647B" w:rsidRDefault="00A7647B" w14:paraId="3DB34933" w14:textId="2EF92AD5">
      <w:pPr>
        <w:pStyle w:val="FootnoteText"/>
      </w:pPr>
      <w:r>
        <w:rPr>
          <w:rStyle w:val="FootnoteReference"/>
        </w:rPr>
        <w:footnoteRef/>
      </w:r>
      <w:r>
        <w:t xml:space="preserve"> Nuffield Council on Bioethics</w:t>
      </w:r>
      <w:r w:rsidR="003708BF">
        <w:t>,</w:t>
      </w:r>
      <w:r>
        <w:t xml:space="preserve"> </w:t>
      </w:r>
      <w:r w:rsidR="000B490A">
        <w:t xml:space="preserve">Independent Review: </w:t>
      </w:r>
      <w:r w:rsidR="003708BF">
        <w:t xml:space="preserve">Disagreements in the care of critically ill children – project background, </w:t>
      </w:r>
      <w:r w:rsidR="008B4503">
        <w:t>&lt;</w:t>
      </w:r>
      <w:r w:rsidRPr="008B4503" w:rsidR="008B4503">
        <w:t xml:space="preserve"> </w:t>
      </w:r>
      <w:hyperlink w:history="1" r:id="rId2">
        <w:r w:rsidR="008B4503">
          <w:rPr>
            <w:rStyle w:val="Hyperlink"/>
          </w:rPr>
          <w:t>Project background - The Nuffield Council on Bioethics (nuffieldbioethics.org)</w:t>
        </w:r>
      </w:hyperlink>
      <w:r w:rsidR="008B4503">
        <w:t>&gt; Last accessed 2</w:t>
      </w:r>
      <w:r w:rsidR="00837065">
        <w:t>6</w:t>
      </w:r>
      <w:r w:rsidR="008B4503">
        <w:t xml:space="preserve"> March 2023.</w:t>
      </w:r>
    </w:p>
  </w:footnote>
  <w:footnote w:id="31">
    <w:p w:rsidRPr="00D8210E" w:rsidR="00A5732E" w:rsidP="00D8210E" w:rsidRDefault="00A5732E" w14:paraId="46E6F00E" w14:textId="74F09040">
      <w:pPr>
        <w:rPr>
          <w:sz w:val="20"/>
          <w:szCs w:val="20"/>
        </w:rPr>
      </w:pPr>
      <w:r w:rsidRPr="00D8210E">
        <w:rPr>
          <w:rStyle w:val="FootnoteReference"/>
          <w:sz w:val="20"/>
          <w:szCs w:val="20"/>
        </w:rPr>
        <w:footnoteRef/>
      </w:r>
      <w:r w:rsidRPr="00D8210E">
        <w:rPr>
          <w:sz w:val="20"/>
          <w:szCs w:val="20"/>
        </w:rPr>
        <w:t xml:space="preserve"> Hannah Snyder, ‘Literature Review as a research methodology: An overview and guidelines’ </w:t>
      </w:r>
      <w:r w:rsidRPr="00D8210E" w:rsidR="001235C4">
        <w:rPr>
          <w:sz w:val="20"/>
          <w:szCs w:val="20"/>
        </w:rPr>
        <w:t>(</w:t>
      </w:r>
      <w:r w:rsidRPr="00D8210E">
        <w:rPr>
          <w:sz w:val="20"/>
          <w:szCs w:val="20"/>
        </w:rPr>
        <w:t>2019</w:t>
      </w:r>
      <w:r w:rsidRPr="00D8210E" w:rsidR="001235C4">
        <w:rPr>
          <w:sz w:val="20"/>
          <w:szCs w:val="20"/>
        </w:rPr>
        <w:t>)</w:t>
      </w:r>
      <w:r w:rsidRPr="00D8210E">
        <w:rPr>
          <w:sz w:val="20"/>
          <w:szCs w:val="20"/>
        </w:rPr>
        <w:t xml:space="preserve"> 104 Journal of Business Research 333</w:t>
      </w:r>
      <w:r w:rsidRPr="00D8210E" w:rsidR="00D8210E">
        <w:rPr>
          <w:sz w:val="20"/>
          <w:szCs w:val="20"/>
        </w:rPr>
        <w:t>;  Giles Birchley and Jonathan Ives, ‘Fallacious, misleading and unhelpful: The case for removing “systematic review” from bioethics nomenclature’ (2022) 36(6) Bioethics 365.</w:t>
      </w:r>
    </w:p>
  </w:footnote>
  <w:footnote w:id="32">
    <w:p w:rsidR="00A5732E" w:rsidP="00A5732E" w:rsidRDefault="00A5732E" w14:paraId="249432BD" w14:textId="77777777">
      <w:pPr>
        <w:pStyle w:val="FootnoteText"/>
      </w:pPr>
      <w:r>
        <w:rPr>
          <w:rStyle w:val="FootnoteReference"/>
        </w:rPr>
        <w:footnoteRef/>
      </w:r>
      <w:r>
        <w:t xml:space="preserve"> Geoff Wong et al, ‘RAMESES publication standards: meta-narrative reviews’ (2013) 69(5) Journal of Advanced Nursing 985. </w:t>
      </w:r>
    </w:p>
  </w:footnote>
  <w:footnote w:id="33">
    <w:p w:rsidR="00A5732E" w:rsidP="00A5732E" w:rsidRDefault="00A5732E" w14:paraId="646B347B" w14:textId="0F619AB8">
      <w:pPr>
        <w:pStyle w:val="FootnoteText"/>
      </w:pPr>
      <w:r>
        <w:rPr>
          <w:rStyle w:val="FootnoteReference"/>
        </w:rPr>
        <w:footnoteRef/>
      </w:r>
      <w:r>
        <w:t xml:space="preserve"> Trisha Greenhalgh et al, ‘Storylines of research in diffusion of innovation: a meta-narrative approach to systematic review’ (2005) 61 Social Science and Medicine 417; Katherine Footer et al, ‘A meta-narrative literature synthesis and framework to guide future evaluation of legal empowerment intervention’ </w:t>
      </w:r>
      <w:r w:rsidR="004D09E6">
        <w:t>(</w:t>
      </w:r>
      <w:r>
        <w:t>2018</w:t>
      </w:r>
      <w:r w:rsidR="004D09E6">
        <w:t>)</w:t>
      </w:r>
      <w:r>
        <w:t xml:space="preserve"> 20(2) Health Human Rights 65. </w:t>
      </w:r>
    </w:p>
  </w:footnote>
  <w:footnote w:id="34">
    <w:p w:rsidR="00A5732E" w:rsidP="00A5732E" w:rsidRDefault="00A5732E" w14:paraId="7FC938E2" w14:textId="77777777">
      <w:pPr>
        <w:pStyle w:val="FootnoteText"/>
      </w:pPr>
      <w:r>
        <w:rPr>
          <w:rStyle w:val="FootnoteReference"/>
        </w:rPr>
        <w:footnoteRef/>
      </w:r>
      <w:r>
        <w:t xml:space="preserve"> Virginia Braun and Victoria Clarke, ‘Using thematic analysis in psychology’ (2008) 3(2) Qualitative Research in Psychology 77. </w:t>
      </w:r>
    </w:p>
  </w:footnote>
  <w:footnote w:id="35">
    <w:p w:rsidR="00AE7E1F" w:rsidRDefault="00AE7E1F" w14:paraId="5FB3EF6F" w14:textId="59966143">
      <w:pPr>
        <w:pStyle w:val="FootnoteText"/>
      </w:pPr>
      <w:r>
        <w:rPr>
          <w:rStyle w:val="FootnoteReference"/>
        </w:rPr>
        <w:footnoteRef/>
      </w:r>
      <w:r w:rsidR="00F813ED">
        <w:t xml:space="preserve"> </w:t>
      </w:r>
      <w:r w:rsidR="007C4C85">
        <w:t>Birchley (</w:t>
      </w:r>
      <w:r w:rsidR="00F813ED">
        <w:t xml:space="preserve">n26) </w:t>
      </w:r>
      <w:r w:rsidR="00E75241">
        <w:t>107</w:t>
      </w:r>
      <w:r w:rsidR="001D614D">
        <w:t>.</w:t>
      </w:r>
    </w:p>
  </w:footnote>
  <w:footnote w:id="36">
    <w:p w:rsidR="00521121" w:rsidRDefault="00521121" w14:paraId="7F1B03A5" w14:textId="22DDD25F">
      <w:pPr>
        <w:pStyle w:val="FootnoteText"/>
      </w:pPr>
      <w:r>
        <w:rPr>
          <w:rStyle w:val="FootnoteReference"/>
        </w:rPr>
        <w:footnoteRef/>
      </w:r>
      <w:r>
        <w:t xml:space="preserve"> </w:t>
      </w:r>
      <w:r w:rsidRPr="00D4187C">
        <w:rPr>
          <w:i/>
          <w:iCs/>
        </w:rPr>
        <w:t>Tafida Raqeeb v Barts NHS Foundation Trust</w:t>
      </w:r>
      <w:r w:rsidRPr="00D4187C">
        <w:t xml:space="preserve"> [2019] EWHC 2531 (admin)</w:t>
      </w:r>
      <w:r>
        <w:t xml:space="preserve">; </w:t>
      </w:r>
      <w:r w:rsidRPr="00D4187C">
        <w:rPr>
          <w:i/>
          <w:iCs/>
        </w:rPr>
        <w:t>Barts NHS Foundation Trust v Shalina Begum and Muhhamed Raqeeb and Taifa Raqeeb</w:t>
      </w:r>
      <w:r w:rsidRPr="00D4187C">
        <w:t xml:space="preserve"> [2019] EWHC 2530 (fam)</w:t>
      </w:r>
      <w:r>
        <w:t>.</w:t>
      </w:r>
    </w:p>
  </w:footnote>
  <w:footnote w:id="37">
    <w:p w:rsidR="00AB5E71" w:rsidRDefault="00AB5E71" w14:paraId="7252E5AE" w14:textId="5F929D91">
      <w:pPr>
        <w:pStyle w:val="FootnoteText"/>
      </w:pPr>
      <w:r>
        <w:rPr>
          <w:rStyle w:val="FootnoteReference"/>
        </w:rPr>
        <w:footnoteRef/>
      </w:r>
      <w:r>
        <w:t xml:space="preserve"> </w:t>
      </w:r>
      <w:r w:rsidRPr="00660D0D" w:rsidR="009E2476">
        <w:t>Ayesha</w:t>
      </w:r>
      <w:r w:rsidRPr="00660D0D" w:rsidR="00701CFC">
        <w:t xml:space="preserve"> Buksh</w:t>
      </w:r>
      <w:r w:rsidRPr="00660D0D" w:rsidR="00CC6D90">
        <w:t>, ‘Tafida Raqeeb: Mum hopes brain-damaged girl will return home’ (22 March 2022) BBC News &lt;https://www.bbc.co.uk/news/uk-england-london-</w:t>
      </w:r>
      <w:r w:rsidRPr="00660D0D" w:rsidR="005C7C2F">
        <w:t>608399727&gt; Last accessed 24 April 2023.</w:t>
      </w:r>
    </w:p>
  </w:footnote>
  <w:footnote w:id="38">
    <w:p w:rsidRPr="00785BED" w:rsidR="00785BED" w:rsidP="00785BED" w:rsidRDefault="0093150B" w14:paraId="2A412255" w14:textId="2DCB96CB">
      <w:pPr>
        <w:rPr>
          <w:sz w:val="20"/>
          <w:szCs w:val="20"/>
        </w:rPr>
      </w:pPr>
      <w:r w:rsidRPr="00785BED">
        <w:rPr>
          <w:rStyle w:val="FootnoteReference"/>
          <w:sz w:val="20"/>
          <w:szCs w:val="20"/>
        </w:rPr>
        <w:footnoteRef/>
      </w:r>
      <w:r w:rsidRPr="00785BED">
        <w:rPr>
          <w:sz w:val="20"/>
          <w:szCs w:val="20"/>
        </w:rPr>
        <w:t xml:space="preserve"> </w:t>
      </w:r>
      <w:r w:rsidRPr="00785BED" w:rsidR="00785BED">
        <w:rPr>
          <w:i/>
          <w:iCs/>
          <w:sz w:val="20"/>
          <w:szCs w:val="20"/>
        </w:rPr>
        <w:t>Guy’s and St Thomas’s Children’s NHS Foundation Trust v Knight</w:t>
      </w:r>
      <w:r w:rsidRPr="00785BED" w:rsidR="00785BED">
        <w:rPr>
          <w:sz w:val="20"/>
          <w:szCs w:val="20"/>
        </w:rPr>
        <w:t xml:space="preserve"> [2021] EWHC 25;</w:t>
      </w:r>
    </w:p>
    <w:p w:rsidRPr="00785BED" w:rsidR="0093150B" w:rsidP="00785BED" w:rsidRDefault="00785BED" w14:paraId="06B42888" w14:textId="65643FCA">
      <w:pPr>
        <w:rPr>
          <w:sz w:val="20"/>
          <w:szCs w:val="20"/>
        </w:rPr>
      </w:pPr>
      <w:r w:rsidRPr="00785BED">
        <w:rPr>
          <w:i/>
          <w:iCs/>
          <w:sz w:val="20"/>
          <w:szCs w:val="20"/>
        </w:rPr>
        <w:t>In the Matter of Pippa Knight (A Child)</w:t>
      </w:r>
      <w:r w:rsidRPr="00785BED">
        <w:rPr>
          <w:sz w:val="20"/>
          <w:szCs w:val="20"/>
        </w:rPr>
        <w:t xml:space="preserve"> [2021] EWCA Civ 362</w:t>
      </w:r>
    </w:p>
  </w:footnote>
  <w:footnote w:id="39">
    <w:p w:rsidRPr="00785BED" w:rsidR="0093150B" w:rsidP="00967D39" w:rsidRDefault="0093150B" w14:paraId="648D5251" w14:textId="1D373130">
      <w:pPr>
        <w:rPr>
          <w:sz w:val="20"/>
          <w:szCs w:val="20"/>
        </w:rPr>
      </w:pPr>
      <w:r w:rsidRPr="00785BED">
        <w:rPr>
          <w:rStyle w:val="FootnoteReference"/>
          <w:sz w:val="20"/>
          <w:szCs w:val="20"/>
        </w:rPr>
        <w:footnoteRef/>
      </w:r>
      <w:r w:rsidRPr="00785BED">
        <w:rPr>
          <w:sz w:val="20"/>
          <w:szCs w:val="20"/>
        </w:rPr>
        <w:t xml:space="preserve"> </w:t>
      </w:r>
      <w:r w:rsidRPr="00785BED" w:rsidR="00BB69E3">
        <w:rPr>
          <w:i/>
          <w:iCs/>
          <w:sz w:val="20"/>
          <w:szCs w:val="20"/>
        </w:rPr>
        <w:t xml:space="preserve">Manchester University NHS Foundation Trust </w:t>
      </w:r>
      <w:r w:rsidRPr="00785BED" w:rsidR="00BB69E3">
        <w:rPr>
          <w:sz w:val="20"/>
          <w:szCs w:val="20"/>
        </w:rPr>
        <w:t xml:space="preserve">v </w:t>
      </w:r>
      <w:r w:rsidRPr="00785BED" w:rsidR="00BB69E3">
        <w:rPr>
          <w:i/>
          <w:iCs/>
          <w:sz w:val="20"/>
          <w:szCs w:val="20"/>
        </w:rPr>
        <w:t>Fixsler</w:t>
      </w:r>
      <w:r w:rsidRPr="00785BED" w:rsidR="00BB69E3">
        <w:rPr>
          <w:sz w:val="20"/>
          <w:szCs w:val="20"/>
        </w:rPr>
        <w:t xml:space="preserve"> [2021] EWHC 1426;</w:t>
      </w:r>
      <w:r w:rsidRPr="00785BED" w:rsidR="00024F1E">
        <w:rPr>
          <w:i/>
          <w:iCs/>
          <w:sz w:val="20"/>
          <w:szCs w:val="20"/>
          <w:u w:val="single"/>
        </w:rPr>
        <w:t xml:space="preserve"> </w:t>
      </w:r>
      <w:r w:rsidRPr="00785BED" w:rsidR="00024F1E">
        <w:rPr>
          <w:i/>
          <w:iCs/>
          <w:sz w:val="20"/>
          <w:szCs w:val="20"/>
        </w:rPr>
        <w:t>Manchester University NHS Foundation Trust</w:t>
      </w:r>
      <w:r w:rsidRPr="00785BED" w:rsidR="00024F1E">
        <w:rPr>
          <w:sz w:val="20"/>
          <w:szCs w:val="20"/>
        </w:rPr>
        <w:t xml:space="preserve"> v </w:t>
      </w:r>
      <w:r w:rsidRPr="00785BED" w:rsidR="00024F1E">
        <w:rPr>
          <w:i/>
          <w:iCs/>
          <w:sz w:val="20"/>
          <w:szCs w:val="20"/>
        </w:rPr>
        <w:t xml:space="preserve">Alta Fixsler, Chaya Fixsler &amp; Abraham Fixsler </w:t>
      </w:r>
      <w:r w:rsidRPr="00785BED" w:rsidR="00024F1E">
        <w:rPr>
          <w:sz w:val="20"/>
          <w:szCs w:val="20"/>
        </w:rPr>
        <w:t xml:space="preserve">[2021] EWHA 2664 (Fam); </w:t>
      </w:r>
      <w:r w:rsidRPr="00785BED" w:rsidR="00967D39">
        <w:rPr>
          <w:i/>
          <w:iCs/>
          <w:sz w:val="20"/>
          <w:szCs w:val="20"/>
        </w:rPr>
        <w:t>In the Matter of Alta Fixsler</w:t>
      </w:r>
      <w:r w:rsidRPr="00785BED" w:rsidR="00967D39">
        <w:rPr>
          <w:sz w:val="20"/>
          <w:szCs w:val="20"/>
        </w:rPr>
        <w:t xml:space="preserve"> [2021] EWCA Civ 1018</w:t>
      </w:r>
    </w:p>
  </w:footnote>
  <w:footnote w:id="40">
    <w:p w:rsidRPr="00785BED" w:rsidR="00DA6C82" w:rsidRDefault="00DA6C82" w14:paraId="7A97E8C1" w14:textId="5F2CAD1A">
      <w:pPr>
        <w:pStyle w:val="FootnoteText"/>
      </w:pPr>
      <w:r w:rsidRPr="00785BED">
        <w:rPr>
          <w:rStyle w:val="FootnoteReference"/>
        </w:rPr>
        <w:footnoteRef/>
      </w:r>
      <w:r w:rsidRPr="00785BED">
        <w:t xml:space="preserve"> </w:t>
      </w:r>
      <w:r w:rsidRPr="00785BED" w:rsidR="000B0DAF">
        <w:t>Harriet Sherwood, ‘Alta Fixsler, toddler at centre of parents’ legal battle dies in hospice</w:t>
      </w:r>
      <w:r w:rsidRPr="00785BED" w:rsidR="00551AB2">
        <w:t xml:space="preserve">’ (19 October 2021) The Guardian </w:t>
      </w:r>
      <w:r w:rsidRPr="00785BED" w:rsidR="001C5749">
        <w:t>&lt;https://amp.theguardian</w:t>
      </w:r>
      <w:r w:rsidRPr="00785BED" w:rsidR="00F34B7F">
        <w:t>.com/uk-news/2021/oct/19/alta-fixsler-toddler-at-centre-of-parents-legal-battle-dies-in-hospice</w:t>
      </w:r>
      <w:r w:rsidRPr="00785BED" w:rsidR="00160CD8">
        <w:t>&gt; Last accessed 3 April 2023.</w:t>
      </w:r>
    </w:p>
  </w:footnote>
  <w:footnote w:id="41">
    <w:p w:rsidR="00791DA6" w:rsidRDefault="00791DA6" w14:paraId="1D0CFB83" w14:textId="5E8733DC">
      <w:pPr>
        <w:pStyle w:val="FootnoteText"/>
      </w:pPr>
      <w:r w:rsidRPr="00785BED">
        <w:rPr>
          <w:rStyle w:val="FootnoteReference"/>
        </w:rPr>
        <w:footnoteRef/>
      </w:r>
      <w:r w:rsidRPr="00785BED">
        <w:t xml:space="preserve"> </w:t>
      </w:r>
      <w:r w:rsidRPr="00785BED">
        <w:rPr>
          <w:i/>
          <w:iCs/>
        </w:rPr>
        <w:t>Manchester University NHS Foundation Trust v William Verden &amp; Amy McLennan</w:t>
      </w:r>
      <w:r w:rsidRPr="00785BED">
        <w:t xml:space="preserve"> [2022] EWCOP 9.</w:t>
      </w:r>
    </w:p>
  </w:footnote>
  <w:footnote w:id="42">
    <w:p w:rsidR="00985A88" w:rsidRDefault="00985A88" w14:paraId="5F598746" w14:textId="1AC29151">
      <w:pPr>
        <w:pStyle w:val="FootnoteText"/>
      </w:pPr>
      <w:r>
        <w:rPr>
          <w:rStyle w:val="FootnoteReference"/>
        </w:rPr>
        <w:footnoteRef/>
      </w:r>
      <w:r>
        <w:t xml:space="preserve"> </w:t>
      </w:r>
      <w:r w:rsidRPr="00296935">
        <w:t xml:space="preserve">Amy Sharpe, ‘Right-to-life teen “in great spirits” as he leaves hospital after transplant, says mum’ </w:t>
      </w:r>
      <w:r w:rsidRPr="00296935" w:rsidR="002656CF">
        <w:t>(24 September 2022) The Mirror &lt;</w:t>
      </w:r>
      <w:r w:rsidRPr="00296935" w:rsidR="00210329">
        <w:t>https://www.mirror.co.uk/news/uk-news/right-to-life-teen-in-great-280730</w:t>
      </w:r>
      <w:r w:rsidRPr="00296935" w:rsidR="00CA6E5A">
        <w:t>52.amp&gt; Last accessed 24 April 2023</w:t>
      </w:r>
      <w:r w:rsidRPr="00296935" w:rsidR="00F23DEA">
        <w:t>; Ami McLennan, ‘</w:t>
      </w:r>
      <w:r w:rsidRPr="00296935" w:rsidR="00107FFA">
        <w:t>After the kidney transplant: The view from “Team William”’</w:t>
      </w:r>
      <w:r w:rsidRPr="00296935" w:rsidR="00227062">
        <w:t xml:space="preserve"> (16 April 2023) Open Justice: Court of Protection Project </w:t>
      </w:r>
      <w:r w:rsidRPr="00296935" w:rsidR="00901F2F">
        <w:t>&lt;</w:t>
      </w:r>
      <w:hyperlink w:history="1" r:id="rId3">
        <w:r w:rsidRPr="00296935" w:rsidR="00901F2F">
          <w:rPr>
            <w:rStyle w:val="Hyperlink"/>
            <w:color w:val="auto"/>
          </w:rPr>
          <w:t>https://openjusticecourtofprotection.org/2023/04/16/after-the-kidney-transplant-the-view-from-team-william</w:t>
        </w:r>
      </w:hyperlink>
      <w:r w:rsidRPr="00296935" w:rsidR="00901F2F">
        <w:t>&gt; Last Accessed 30 April 2023.</w:t>
      </w:r>
    </w:p>
  </w:footnote>
  <w:footnote w:id="43">
    <w:p w:rsidRPr="00355554" w:rsidR="00045897" w:rsidP="00355554" w:rsidRDefault="00045897" w14:paraId="677381CA" w14:textId="3EBB2890">
      <w:pPr>
        <w:rPr>
          <w:sz w:val="20"/>
          <w:szCs w:val="20"/>
        </w:rPr>
      </w:pPr>
      <w:r>
        <w:rPr>
          <w:rStyle w:val="FootnoteReference"/>
        </w:rPr>
        <w:footnoteRef/>
      </w:r>
      <w:r>
        <w:t xml:space="preserve"> </w:t>
      </w:r>
      <w:r w:rsidRPr="00355554" w:rsidR="00DD1F9A">
        <w:rPr>
          <w:i/>
          <w:iCs/>
          <w:sz w:val="20"/>
          <w:szCs w:val="20"/>
        </w:rPr>
        <w:t>Barts Health NHS Trust v Dance</w:t>
      </w:r>
      <w:r w:rsidRPr="00355554" w:rsidR="00DD1F9A">
        <w:rPr>
          <w:sz w:val="20"/>
          <w:szCs w:val="20"/>
        </w:rPr>
        <w:t xml:space="preserve"> [2022] EWHC 1165 (Fam); </w:t>
      </w:r>
      <w:r w:rsidRPr="00355554" w:rsidR="00637898">
        <w:rPr>
          <w:i/>
          <w:iCs/>
          <w:sz w:val="20"/>
          <w:szCs w:val="20"/>
        </w:rPr>
        <w:t>Barts Health NHS Trust v Hollie Dance &amp; Paul Battersbee &amp; Archie Battersbee</w:t>
      </w:r>
      <w:r w:rsidRPr="00355554" w:rsidR="00637898">
        <w:rPr>
          <w:sz w:val="20"/>
          <w:szCs w:val="20"/>
        </w:rPr>
        <w:t xml:space="preserve"> [2022] EWHC 1435 (Fam); </w:t>
      </w:r>
      <w:r w:rsidRPr="00355554" w:rsidR="00355554">
        <w:rPr>
          <w:i/>
          <w:iCs/>
          <w:sz w:val="20"/>
          <w:szCs w:val="20"/>
        </w:rPr>
        <w:t>Barts Health NHS Trust v Hollie Dance &amp; Paul Battersbee &amp; Archie Battersbee</w:t>
      </w:r>
      <w:r w:rsidRPr="00355554" w:rsidR="00355554">
        <w:rPr>
          <w:sz w:val="20"/>
          <w:szCs w:val="20"/>
        </w:rPr>
        <w:t xml:space="preserve"> [2022] EWCA Civ 935</w:t>
      </w:r>
    </w:p>
  </w:footnote>
  <w:footnote w:id="44">
    <w:p w:rsidR="00FD1AF7" w:rsidP="00FD1AF7" w:rsidRDefault="00FD1AF7" w14:paraId="47E4D2BA" w14:textId="77777777">
      <w:pPr>
        <w:pStyle w:val="FootnoteText"/>
      </w:pPr>
      <w:r>
        <w:rPr>
          <w:rStyle w:val="FootnoteReference"/>
        </w:rPr>
        <w:footnoteRef/>
      </w:r>
      <w:r>
        <w:t xml:space="preserve"> Liz Forbat and Sarah Barclay, ‘Reducing Healthcare Conflict: Outcomes from using the Conflict Management Framework’ (2019) 104(4) Arch Dis Child 328.</w:t>
      </w:r>
    </w:p>
  </w:footnote>
  <w:footnote w:id="45">
    <w:p w:rsidR="00A976E3" w:rsidP="00A976E3" w:rsidRDefault="00A976E3" w14:paraId="6DCF657D" w14:textId="77777777">
      <w:pPr>
        <w:pStyle w:val="FootnoteText"/>
      </w:pPr>
      <w:r>
        <w:rPr>
          <w:rStyle w:val="FootnoteReference"/>
        </w:rPr>
        <w:footnoteRef/>
      </w:r>
      <w:r>
        <w:t xml:space="preserve"> In the study </w:t>
      </w:r>
      <w:r>
        <w:rPr>
          <w:rFonts w:cstheme="minorHAnsi"/>
        </w:rPr>
        <w:t>l</w:t>
      </w:r>
      <w:r w:rsidRPr="00C65FE7">
        <w:rPr>
          <w:rFonts w:cstheme="minorHAnsi"/>
        </w:rPr>
        <w:t>ong stays were defined as 28 days or more.</w:t>
      </w:r>
    </w:p>
  </w:footnote>
  <w:footnote w:id="46">
    <w:p w:rsidRPr="000E73C8" w:rsidR="009A7497" w:rsidP="009A7497" w:rsidRDefault="009A7497" w14:paraId="496CA257" w14:textId="77777777">
      <w:pPr>
        <w:rPr>
          <w:rFonts w:cstheme="minorHAnsi"/>
          <w:sz w:val="20"/>
          <w:szCs w:val="20"/>
        </w:rPr>
      </w:pPr>
      <w:r w:rsidRPr="00B11562">
        <w:rPr>
          <w:rStyle w:val="FootnoteReference"/>
          <w:sz w:val="20"/>
          <w:szCs w:val="20"/>
        </w:rPr>
        <w:footnoteRef/>
      </w:r>
      <w:r>
        <w:rPr>
          <w:sz w:val="20"/>
          <w:szCs w:val="20"/>
        </w:rPr>
        <w:t xml:space="preserve"> Hari K </w:t>
      </w:r>
      <w:r w:rsidRPr="00B11562">
        <w:rPr>
          <w:rFonts w:cstheme="minorHAnsi"/>
          <w:sz w:val="20"/>
          <w:szCs w:val="20"/>
        </w:rPr>
        <w:t>Kanthimathinathan et al, ‘Trends in long-stay admissions to a UK paediatric intensive care unit’ (2020) 105 Arch Dis Child 558. The study included admissions from 1 January 1998 to 31 December 2017.</w:t>
      </w:r>
    </w:p>
  </w:footnote>
  <w:footnote w:id="47">
    <w:p w:rsidR="00FD1AF7" w:rsidP="00FD1AF7" w:rsidRDefault="00FD1AF7" w14:paraId="4459B60F" w14:textId="23D0B2CD">
      <w:pPr>
        <w:pStyle w:val="FootnoteText"/>
      </w:pPr>
      <w:r>
        <w:rPr>
          <w:rStyle w:val="FootnoteReference"/>
        </w:rPr>
        <w:footnoteRef/>
      </w:r>
      <w:r>
        <w:t xml:space="preserve"> </w:t>
      </w:r>
      <w:r w:rsidR="00424F5B">
        <w:rPr>
          <w:rFonts w:cstheme="minorHAnsi"/>
        </w:rPr>
        <w:t>ibid</w:t>
      </w:r>
      <w:r>
        <w:rPr>
          <w:rFonts w:cstheme="minorHAnsi"/>
        </w:rPr>
        <w:t xml:space="preserve"> 560.</w:t>
      </w:r>
    </w:p>
  </w:footnote>
  <w:footnote w:id="48">
    <w:p w:rsidRPr="001D2C67" w:rsidR="00D45D6C" w:rsidP="00D45D6C" w:rsidRDefault="00D45D6C" w14:paraId="74590BE1" w14:textId="77777777">
      <w:pPr>
        <w:pStyle w:val="FootnoteText"/>
      </w:pPr>
      <w:r w:rsidRPr="001D2C67">
        <w:rPr>
          <w:rStyle w:val="FootnoteReference"/>
        </w:rPr>
        <w:footnoteRef/>
      </w:r>
      <w:r w:rsidRPr="001D2C67">
        <w:t xml:space="preserve"> Liz Forbat, ‘When doctors and parents disagree on how to treat a sick child the emotional and financial costs can be huge’ (9 October 2019) The Conversation.</w:t>
      </w:r>
    </w:p>
  </w:footnote>
  <w:footnote w:id="49">
    <w:p w:rsidRPr="001D2C67" w:rsidR="008F4C2F" w:rsidP="008F4C2F" w:rsidRDefault="008F4C2F" w14:paraId="00AEF3F5" w14:textId="31E6166E">
      <w:pPr>
        <w:pStyle w:val="FootnoteText"/>
      </w:pPr>
      <w:r w:rsidRPr="001D2C67">
        <w:rPr>
          <w:rStyle w:val="FootnoteReference"/>
        </w:rPr>
        <w:footnoteRef/>
      </w:r>
      <w:r w:rsidRPr="001D2C67">
        <w:t xml:space="preserve"> K</w:t>
      </w:r>
      <w:r w:rsidR="002C18FA">
        <w:t>im</w:t>
      </w:r>
      <w:r w:rsidRPr="001D2C67">
        <w:t xml:space="preserve"> Mooney-Doyle and C</w:t>
      </w:r>
      <w:r w:rsidR="002C18FA">
        <w:t xml:space="preserve">onnie </w:t>
      </w:r>
      <w:r w:rsidRPr="001D2C67">
        <w:t>M Ulrich, ‘Parent moral distress in serious pediatric illness: A dimensional analysis’ (2020) 27(3) Nursing Ethics 821.</w:t>
      </w:r>
    </w:p>
  </w:footnote>
  <w:footnote w:id="50">
    <w:p w:rsidRPr="001D2C67" w:rsidR="008F4C2F" w:rsidP="008F4C2F" w:rsidRDefault="008F4C2F" w14:paraId="52D1B680" w14:textId="5ACB524C">
      <w:pPr>
        <w:rPr>
          <w:sz w:val="20"/>
          <w:szCs w:val="20"/>
        </w:rPr>
      </w:pPr>
      <w:r w:rsidRPr="001D2C67">
        <w:rPr>
          <w:rStyle w:val="FootnoteReference"/>
          <w:sz w:val="20"/>
          <w:szCs w:val="20"/>
        </w:rPr>
        <w:footnoteRef/>
      </w:r>
      <w:r w:rsidRPr="001D2C67">
        <w:rPr>
          <w:sz w:val="20"/>
          <w:szCs w:val="20"/>
        </w:rPr>
        <w:t xml:space="preserve"> Archambault-Grenier</w:t>
      </w:r>
      <w:r w:rsidR="00652CA7">
        <w:rPr>
          <w:sz w:val="20"/>
          <w:szCs w:val="20"/>
        </w:rPr>
        <w:t xml:space="preserve"> (n17)</w:t>
      </w:r>
      <w:r w:rsidRPr="001D2C67">
        <w:rPr>
          <w:sz w:val="20"/>
          <w:szCs w:val="20"/>
        </w:rPr>
        <w:t xml:space="preserve"> 265. </w:t>
      </w:r>
    </w:p>
  </w:footnote>
  <w:footnote w:id="51">
    <w:p w:rsidRPr="001D2C67" w:rsidR="008F4C2F" w:rsidP="008F4C2F" w:rsidRDefault="008F4C2F" w14:paraId="525324B1" w14:textId="77777777">
      <w:pPr>
        <w:pStyle w:val="FootnoteText"/>
      </w:pPr>
      <w:r w:rsidRPr="001D2C67">
        <w:rPr>
          <w:rStyle w:val="FootnoteReference"/>
        </w:rPr>
        <w:footnoteRef/>
      </w:r>
      <w:r w:rsidRPr="001D2C67">
        <w:t xml:space="preserve"> </w:t>
      </w:r>
      <w:r w:rsidRPr="001D2C67">
        <w:rPr>
          <w:i/>
          <w:iCs/>
        </w:rPr>
        <w:t>Barts Health NHS Trust v Dance</w:t>
      </w:r>
      <w:r w:rsidRPr="001D2C67">
        <w:t xml:space="preserve"> [2022] EWHC 1165 (Fam) [82].</w:t>
      </w:r>
    </w:p>
  </w:footnote>
  <w:footnote w:id="52">
    <w:p w:rsidRPr="001D2C67" w:rsidR="008F4C2F" w:rsidP="008F4C2F" w:rsidRDefault="008F4C2F" w14:paraId="5AB37796" w14:textId="77777777">
      <w:pPr>
        <w:pStyle w:val="FootnoteText"/>
      </w:pPr>
      <w:r w:rsidRPr="001D2C67">
        <w:rPr>
          <w:rStyle w:val="FootnoteReference"/>
        </w:rPr>
        <w:footnoteRef/>
      </w:r>
      <w:r w:rsidRPr="001D2C67">
        <w:t xml:space="preserve"> </w:t>
      </w:r>
      <w:r w:rsidRPr="001D2C67">
        <w:rPr>
          <w:i/>
          <w:iCs/>
        </w:rPr>
        <w:t>Barts Health NHS Trust v Hollie Dance &amp; Paul Battersbee &amp; Archie Battersbee</w:t>
      </w:r>
      <w:r w:rsidRPr="001D2C67">
        <w:t xml:space="preserve"> [2022] EWHC 1435 (Fam) [101].</w:t>
      </w:r>
    </w:p>
  </w:footnote>
  <w:footnote w:id="53">
    <w:p w:rsidRPr="001D2C67" w:rsidR="008F4C2F" w:rsidP="008F4C2F" w:rsidRDefault="008F4C2F" w14:paraId="31FF94CD" w14:textId="77777777">
      <w:pPr>
        <w:pStyle w:val="FootnoteText"/>
      </w:pPr>
      <w:r w:rsidRPr="001D2C67">
        <w:rPr>
          <w:rStyle w:val="FootnoteReference"/>
        </w:rPr>
        <w:footnoteRef/>
      </w:r>
      <w:r w:rsidRPr="001D2C67">
        <w:t xml:space="preserve"> </w:t>
      </w:r>
      <w:r w:rsidRPr="001D2C67">
        <w:rPr>
          <w:i/>
          <w:iCs/>
        </w:rPr>
        <w:t>Barts Health NHS Trust v Dance</w:t>
      </w:r>
      <w:r w:rsidRPr="001D2C67">
        <w:t xml:space="preserve"> [2022] EWHC 1165 (Fam) [6].</w:t>
      </w:r>
    </w:p>
  </w:footnote>
  <w:footnote w:id="54">
    <w:p w:rsidRPr="001D2C67" w:rsidR="008F4C2F" w:rsidP="008F4C2F" w:rsidRDefault="008F4C2F" w14:paraId="34FC581C" w14:textId="77777777">
      <w:pPr>
        <w:pStyle w:val="FootnoteText"/>
      </w:pPr>
      <w:r w:rsidRPr="001D2C67">
        <w:rPr>
          <w:rStyle w:val="FootnoteReference"/>
        </w:rPr>
        <w:footnoteRef/>
      </w:r>
      <w:r w:rsidRPr="001D2C67">
        <w:t xml:space="preserve"> </w:t>
      </w:r>
      <w:r w:rsidRPr="001D2C67">
        <w:rPr>
          <w:i/>
          <w:iCs/>
        </w:rPr>
        <w:t>Barts Health NHS Trust v Dance</w:t>
      </w:r>
      <w:r w:rsidRPr="001D2C67">
        <w:t xml:space="preserve"> [2022] EWHC 1165 (Fam) [94].</w:t>
      </w:r>
    </w:p>
  </w:footnote>
  <w:footnote w:id="55">
    <w:p w:rsidR="008F4C2F" w:rsidP="008F4C2F" w:rsidRDefault="008F4C2F" w14:paraId="4FCD09A1" w14:textId="77777777">
      <w:pPr>
        <w:pStyle w:val="FootnoteText"/>
      </w:pPr>
      <w:r w:rsidRPr="001D2C67">
        <w:rPr>
          <w:rStyle w:val="FootnoteReference"/>
        </w:rPr>
        <w:footnoteRef/>
      </w:r>
      <w:r w:rsidRPr="001D2C67">
        <w:t xml:space="preserve"> </w:t>
      </w:r>
      <w:r w:rsidRPr="001D2C67">
        <w:rPr>
          <w:i/>
          <w:iCs/>
        </w:rPr>
        <w:t>Barts Health NHS Trust v Hollie Dance &amp; Paul Battersbee &amp; Archie Battersbee</w:t>
      </w:r>
      <w:r w:rsidRPr="001D2C67">
        <w:t xml:space="preserve"> [2022] EWHC 1435 (Fam) [9].</w:t>
      </w:r>
    </w:p>
  </w:footnote>
  <w:footnote w:id="56">
    <w:p w:rsidRPr="007178FB" w:rsidR="00472DDC" w:rsidRDefault="00472DDC" w14:paraId="592F55EF" w14:textId="47E9DB2C">
      <w:pPr>
        <w:pStyle w:val="FootnoteText"/>
      </w:pPr>
      <w:r w:rsidRPr="007178FB">
        <w:rPr>
          <w:rStyle w:val="FootnoteReference"/>
        </w:rPr>
        <w:footnoteRef/>
      </w:r>
      <w:r w:rsidRPr="007178FB" w:rsidR="00112855">
        <w:rPr>
          <w:i/>
          <w:iCs/>
        </w:rPr>
        <w:t xml:space="preserve"> Barts Health NHS Trust v Dance</w:t>
      </w:r>
      <w:r w:rsidRPr="007178FB" w:rsidR="00112855">
        <w:t xml:space="preserve"> [2022] EWHC 1165 (Fam) </w:t>
      </w:r>
      <w:r w:rsidRPr="007178FB">
        <w:t>[10].</w:t>
      </w:r>
    </w:p>
  </w:footnote>
  <w:footnote w:id="57">
    <w:p w:rsidR="00F35E0E" w:rsidRDefault="00F35E0E" w14:paraId="48BCFC40" w14:textId="1436143A">
      <w:pPr>
        <w:pStyle w:val="FootnoteText"/>
      </w:pPr>
      <w:r>
        <w:rPr>
          <w:rStyle w:val="FootnoteReference"/>
        </w:rPr>
        <w:footnoteRef/>
      </w:r>
      <w:r>
        <w:t xml:space="preserve"> </w:t>
      </w:r>
      <w:r w:rsidRPr="007178FB">
        <w:rPr>
          <w:i/>
          <w:iCs/>
        </w:rPr>
        <w:t>Barts Health NHS Trust v Hollie Dance &amp; Paul Battersbee &amp; Archie Battersbee</w:t>
      </w:r>
      <w:r w:rsidRPr="007178FB">
        <w:t xml:space="preserve"> [2022] EWHC 1435 (Fam) [98]</w:t>
      </w:r>
    </w:p>
  </w:footnote>
  <w:footnote w:id="58">
    <w:p w:rsidRPr="007178FB" w:rsidR="00691ADF" w:rsidRDefault="00691ADF" w14:paraId="343A09E7" w14:textId="4C5F2600">
      <w:pPr>
        <w:pStyle w:val="FootnoteText"/>
      </w:pPr>
      <w:r w:rsidRPr="007178FB">
        <w:rPr>
          <w:rStyle w:val="FootnoteReference"/>
        </w:rPr>
        <w:footnoteRef/>
      </w:r>
      <w:r w:rsidRPr="007178FB" w:rsidR="004A4534">
        <w:rPr>
          <w:i/>
          <w:iCs/>
        </w:rPr>
        <w:t>Barts Health NHS Trust v Hollie Dance &amp; Paul Battersbee &amp; Archie Battersbee</w:t>
      </w:r>
      <w:r w:rsidRPr="007178FB" w:rsidR="004A4534">
        <w:t xml:space="preserve"> [2022] EWHC 1435 (Fam)</w:t>
      </w:r>
      <w:r w:rsidRPr="007178FB">
        <w:t xml:space="preserve"> [98] </w:t>
      </w:r>
    </w:p>
  </w:footnote>
  <w:footnote w:id="59">
    <w:p w:rsidRPr="00D153E9" w:rsidR="006B08BC" w:rsidP="00D153E9" w:rsidRDefault="006B08BC" w14:paraId="174115B7" w14:textId="326E6523">
      <w:pPr>
        <w:rPr>
          <w:sz w:val="20"/>
          <w:szCs w:val="20"/>
        </w:rPr>
      </w:pPr>
      <w:r w:rsidRPr="00D153E9">
        <w:rPr>
          <w:rStyle w:val="FootnoteReference"/>
          <w:sz w:val="20"/>
          <w:szCs w:val="20"/>
        </w:rPr>
        <w:footnoteRef/>
      </w:r>
      <w:r w:rsidRPr="00D153E9">
        <w:rPr>
          <w:sz w:val="20"/>
          <w:szCs w:val="20"/>
        </w:rPr>
        <w:t xml:space="preserve"> </w:t>
      </w:r>
      <w:r w:rsidRPr="00D153E9" w:rsidR="005D61C9">
        <w:rPr>
          <w:sz w:val="20"/>
          <w:szCs w:val="20"/>
        </w:rPr>
        <w:t>Naomi T Katz, Jenny L Hynson and Lynn Gillam, ‘Dissonance in views between parents and clinicians of children with serious illness: How can we bridge the gap?’ (2021) 57 Journal of Paediatrics and Child Health 1370</w:t>
      </w:r>
      <w:r w:rsidRPr="00D153E9" w:rsidR="00D153E9">
        <w:rPr>
          <w:sz w:val="20"/>
          <w:szCs w:val="20"/>
        </w:rPr>
        <w:t>.</w:t>
      </w:r>
    </w:p>
  </w:footnote>
  <w:footnote w:id="60">
    <w:p w:rsidRPr="0034385B" w:rsidR="00C128EB" w:rsidP="00E514ED" w:rsidRDefault="00C128EB" w14:paraId="0ABF78DF" w14:textId="39447254">
      <w:pPr>
        <w:rPr>
          <w:sz w:val="20"/>
          <w:szCs w:val="20"/>
        </w:rPr>
      </w:pPr>
      <w:r w:rsidRPr="0034385B">
        <w:rPr>
          <w:rStyle w:val="FootnoteReference"/>
          <w:sz w:val="20"/>
          <w:szCs w:val="20"/>
        </w:rPr>
        <w:footnoteRef/>
      </w:r>
      <w:r w:rsidRPr="0034385B">
        <w:rPr>
          <w:sz w:val="20"/>
          <w:szCs w:val="20"/>
        </w:rPr>
        <w:t xml:space="preserve"> </w:t>
      </w:r>
      <w:r w:rsidRPr="0034385B" w:rsidR="00E514ED">
        <w:rPr>
          <w:sz w:val="20"/>
          <w:szCs w:val="20"/>
        </w:rPr>
        <w:t>Amy E Caruso Brown, ‘Reconceiving Decisions at the End of Life in Pediatrics: Decision-Making as a Form of Ritual’ (2019) 62(2) Perspectives in Biology and Medicine 301,</w:t>
      </w:r>
      <w:r w:rsidRPr="0034385B" w:rsidR="0034385B">
        <w:rPr>
          <w:sz w:val="20"/>
          <w:szCs w:val="20"/>
        </w:rPr>
        <w:t>309.</w:t>
      </w:r>
      <w:r w:rsidRPr="0034385B" w:rsidR="00E514ED">
        <w:rPr>
          <w:sz w:val="20"/>
          <w:szCs w:val="20"/>
        </w:rPr>
        <w:t xml:space="preserve"> </w:t>
      </w:r>
    </w:p>
  </w:footnote>
  <w:footnote w:id="61">
    <w:p w:rsidRPr="0034385B" w:rsidR="009953FC" w:rsidRDefault="009953FC" w14:paraId="785BCB9A" w14:textId="09002BFF">
      <w:pPr>
        <w:pStyle w:val="FootnoteText"/>
      </w:pPr>
      <w:r w:rsidRPr="0034385B">
        <w:rPr>
          <w:rStyle w:val="FootnoteReference"/>
        </w:rPr>
        <w:footnoteRef/>
      </w:r>
      <w:r w:rsidRPr="0034385B">
        <w:t xml:space="preserve">  Katz</w:t>
      </w:r>
      <w:r w:rsidR="000F0548">
        <w:t xml:space="preserve"> (n58)</w:t>
      </w:r>
      <w:r w:rsidRPr="0034385B" w:rsidR="00333861">
        <w:t xml:space="preserve"> 1371</w:t>
      </w:r>
      <w:r w:rsidRPr="0034385B" w:rsidR="007F5BB1">
        <w:t xml:space="preserve"> -137</w:t>
      </w:r>
      <w:r w:rsidR="00D43ED8">
        <w:t>3</w:t>
      </w:r>
      <w:r w:rsidRPr="0034385B" w:rsidR="007F5BB1">
        <w:t>.</w:t>
      </w:r>
    </w:p>
  </w:footnote>
  <w:footnote w:id="62">
    <w:p w:rsidRPr="0034385B" w:rsidR="00FA6F12" w:rsidP="007178FB" w:rsidRDefault="00FA6F12" w14:paraId="5DC27A66" w14:textId="7576F343">
      <w:pPr>
        <w:rPr>
          <w:sz w:val="20"/>
          <w:szCs w:val="20"/>
        </w:rPr>
      </w:pPr>
      <w:r w:rsidRPr="0034385B">
        <w:rPr>
          <w:rStyle w:val="FootnoteReference"/>
          <w:sz w:val="20"/>
          <w:szCs w:val="20"/>
        </w:rPr>
        <w:footnoteRef/>
      </w:r>
      <w:r w:rsidRPr="0034385B" w:rsidR="007178FB">
        <w:rPr>
          <w:sz w:val="20"/>
          <w:szCs w:val="20"/>
        </w:rPr>
        <w:t xml:space="preserve"> J</w:t>
      </w:r>
      <w:r w:rsidR="003D7964">
        <w:rPr>
          <w:sz w:val="20"/>
          <w:szCs w:val="20"/>
        </w:rPr>
        <w:t xml:space="preserve"> </w:t>
      </w:r>
      <w:r w:rsidRPr="0034385B" w:rsidR="007178FB">
        <w:rPr>
          <w:sz w:val="20"/>
          <w:szCs w:val="20"/>
        </w:rPr>
        <w:t>G</w:t>
      </w:r>
      <w:r w:rsidR="003D7964">
        <w:rPr>
          <w:sz w:val="20"/>
          <w:szCs w:val="20"/>
        </w:rPr>
        <w:t>regory</w:t>
      </w:r>
      <w:r w:rsidRPr="0034385B" w:rsidR="007178FB">
        <w:rPr>
          <w:sz w:val="20"/>
          <w:szCs w:val="20"/>
        </w:rPr>
        <w:t xml:space="preserve"> Dolan et al, ‘Association of psychological distress and religious coping tendencies in parents of children recently diagnosed with cancer: A cross-sectional study’ (2021) 68 Pediatr Blood Cancer e28991, 2. </w:t>
      </w:r>
    </w:p>
  </w:footnote>
  <w:footnote w:id="63">
    <w:p w:rsidRPr="0034385B" w:rsidR="00EF4A11" w:rsidP="00553468" w:rsidRDefault="00EF4A11" w14:paraId="21017418" w14:textId="20569991">
      <w:pPr>
        <w:rPr>
          <w:sz w:val="20"/>
          <w:szCs w:val="20"/>
        </w:rPr>
      </w:pPr>
      <w:r w:rsidRPr="0034385B">
        <w:rPr>
          <w:rStyle w:val="FootnoteReference"/>
          <w:sz w:val="20"/>
          <w:szCs w:val="20"/>
        </w:rPr>
        <w:footnoteRef/>
      </w:r>
      <w:r w:rsidRPr="0034385B">
        <w:rPr>
          <w:sz w:val="20"/>
          <w:szCs w:val="20"/>
        </w:rPr>
        <w:t xml:space="preserve"> </w:t>
      </w:r>
      <w:r w:rsidRPr="0034385B" w:rsidR="00FD4891">
        <w:rPr>
          <w:sz w:val="20"/>
          <w:szCs w:val="20"/>
        </w:rPr>
        <w:t>Mooney-Doyle</w:t>
      </w:r>
      <w:r w:rsidR="00B23FA7">
        <w:rPr>
          <w:sz w:val="20"/>
          <w:szCs w:val="20"/>
        </w:rPr>
        <w:t xml:space="preserve"> (n48) </w:t>
      </w:r>
      <w:r w:rsidRPr="0034385B" w:rsidR="00943800">
        <w:rPr>
          <w:sz w:val="20"/>
          <w:szCs w:val="20"/>
        </w:rPr>
        <w:t>823</w:t>
      </w:r>
      <w:r w:rsidRPr="0034385B" w:rsidR="00553468">
        <w:rPr>
          <w:sz w:val="20"/>
          <w:szCs w:val="20"/>
        </w:rPr>
        <w:t>.</w:t>
      </w:r>
    </w:p>
  </w:footnote>
  <w:footnote w:id="64">
    <w:p w:rsidRPr="00BE49A0" w:rsidR="00075D62" w:rsidP="00BE49A0" w:rsidRDefault="00075D62" w14:paraId="6E13E596" w14:textId="3F7A1968">
      <w:pPr>
        <w:rPr>
          <w:sz w:val="24"/>
          <w:szCs w:val="24"/>
        </w:rPr>
      </w:pPr>
      <w:r w:rsidRPr="0034385B">
        <w:rPr>
          <w:rStyle w:val="FootnoteReference"/>
          <w:sz w:val="20"/>
          <w:szCs w:val="20"/>
        </w:rPr>
        <w:footnoteRef/>
      </w:r>
      <w:r w:rsidRPr="0034385B">
        <w:rPr>
          <w:sz w:val="20"/>
          <w:szCs w:val="20"/>
        </w:rPr>
        <w:t xml:space="preserve"> </w:t>
      </w:r>
      <w:r w:rsidRPr="0034385B" w:rsidR="00BE49A0">
        <w:rPr>
          <w:sz w:val="20"/>
          <w:szCs w:val="20"/>
        </w:rPr>
        <w:t xml:space="preserve">Bryanna Moore, ‘The Fraught Notion of a “Good Death” in Pediatrics’ (2023) 48 The Journal of Medicine and Philosophy: A Forum for Bioethics and Philosophy of Medicine 60, </w:t>
      </w:r>
      <w:r w:rsidRPr="0034385B">
        <w:rPr>
          <w:sz w:val="20"/>
          <w:szCs w:val="20"/>
        </w:rPr>
        <w:t>61.</w:t>
      </w:r>
    </w:p>
  </w:footnote>
  <w:footnote w:id="65">
    <w:p w:rsidR="003F59B2" w:rsidRDefault="003F59B2" w14:paraId="1C44557C" w14:textId="6DD57F92">
      <w:pPr>
        <w:pStyle w:val="FootnoteText"/>
      </w:pPr>
      <w:r>
        <w:rPr>
          <w:rStyle w:val="FootnoteReference"/>
        </w:rPr>
        <w:footnoteRef/>
      </w:r>
      <w:r>
        <w:t xml:space="preserve"> </w:t>
      </w:r>
      <w:r w:rsidR="003C7AA1">
        <w:t>ibid</w:t>
      </w:r>
    </w:p>
  </w:footnote>
  <w:footnote w:id="66">
    <w:p w:rsidR="005F2009" w:rsidRDefault="005F2009" w14:paraId="675024D7" w14:textId="63977308">
      <w:pPr>
        <w:pStyle w:val="FootnoteText"/>
      </w:pPr>
      <w:r>
        <w:rPr>
          <w:rStyle w:val="FootnoteReference"/>
        </w:rPr>
        <w:footnoteRef/>
      </w:r>
      <w:r>
        <w:t xml:space="preserve"> </w:t>
      </w:r>
      <w:r w:rsidR="003C7AA1">
        <w:t xml:space="preserve">ibid </w:t>
      </w:r>
      <w:r>
        <w:t>62.</w:t>
      </w:r>
    </w:p>
  </w:footnote>
  <w:footnote w:id="67">
    <w:p w:rsidR="00FB2601" w:rsidRDefault="00FB2601" w14:paraId="78E63F38" w14:textId="7119DC5C">
      <w:pPr>
        <w:pStyle w:val="FootnoteText"/>
      </w:pPr>
      <w:r>
        <w:rPr>
          <w:rStyle w:val="FootnoteReference"/>
        </w:rPr>
        <w:footnoteRef/>
      </w:r>
      <w:r>
        <w:t xml:space="preserve"> </w:t>
      </w:r>
      <w:r w:rsidR="003C7AA1">
        <w:t xml:space="preserve">ibid </w:t>
      </w:r>
      <w:r w:rsidR="00A659CC">
        <w:t>67.</w:t>
      </w:r>
    </w:p>
  </w:footnote>
  <w:footnote w:id="68">
    <w:p w:rsidR="00A07CD0" w:rsidRDefault="00A07CD0" w14:paraId="315E83E6" w14:textId="587F663C">
      <w:pPr>
        <w:pStyle w:val="FootnoteText"/>
      </w:pPr>
      <w:r>
        <w:rPr>
          <w:rStyle w:val="FootnoteReference"/>
        </w:rPr>
        <w:footnoteRef/>
      </w:r>
      <w:r w:rsidR="003C7AA1">
        <w:t xml:space="preserve"> ibid </w:t>
      </w:r>
      <w:r w:rsidR="008F4C2F">
        <w:t>70.</w:t>
      </w:r>
    </w:p>
  </w:footnote>
  <w:footnote w:id="69">
    <w:p w:rsidR="00760214" w:rsidRDefault="00760214" w14:paraId="6B537329" w14:textId="0D512315">
      <w:pPr>
        <w:pStyle w:val="FootnoteText"/>
      </w:pPr>
      <w:r>
        <w:rPr>
          <w:rStyle w:val="FootnoteReference"/>
        </w:rPr>
        <w:footnoteRef/>
      </w:r>
      <w:r>
        <w:t xml:space="preserve"> </w:t>
      </w:r>
      <w:r w:rsidRPr="001D2C67" w:rsidR="003222F3">
        <w:t>Archambault-Grenier</w:t>
      </w:r>
      <w:r w:rsidR="003C7AA1">
        <w:t xml:space="preserve"> (n</w:t>
      </w:r>
      <w:r w:rsidR="00325020">
        <w:t>17)</w:t>
      </w:r>
      <w:r w:rsidR="00BA7FFA">
        <w:t xml:space="preserve"> </w:t>
      </w:r>
      <w:r w:rsidR="00787928">
        <w:t>268.</w:t>
      </w:r>
    </w:p>
  </w:footnote>
  <w:footnote w:id="70">
    <w:p w:rsidRPr="007178FB" w:rsidR="00C54E10" w:rsidP="00C54E10" w:rsidRDefault="00C54E10" w14:paraId="09AC410D" w14:textId="2DF32411">
      <w:pPr>
        <w:rPr>
          <w:sz w:val="20"/>
          <w:szCs w:val="20"/>
        </w:rPr>
      </w:pPr>
      <w:r w:rsidRPr="007178FB">
        <w:rPr>
          <w:rStyle w:val="FootnoteReference"/>
          <w:sz w:val="20"/>
          <w:szCs w:val="20"/>
        </w:rPr>
        <w:footnoteRef/>
      </w:r>
      <w:r w:rsidRPr="007178FB">
        <w:rPr>
          <w:sz w:val="20"/>
          <w:szCs w:val="20"/>
        </w:rPr>
        <w:t xml:space="preserve"> </w:t>
      </w:r>
      <w:r w:rsidRPr="007178FB">
        <w:rPr>
          <w:i/>
          <w:iCs/>
          <w:sz w:val="20"/>
          <w:szCs w:val="20"/>
        </w:rPr>
        <w:t>Manchester University NHS Foundation Trust</w:t>
      </w:r>
      <w:r w:rsidRPr="007178FB">
        <w:rPr>
          <w:sz w:val="20"/>
          <w:szCs w:val="20"/>
        </w:rPr>
        <w:t xml:space="preserve"> v </w:t>
      </w:r>
      <w:r w:rsidRPr="007178FB">
        <w:rPr>
          <w:i/>
          <w:iCs/>
          <w:sz w:val="20"/>
          <w:szCs w:val="20"/>
        </w:rPr>
        <w:t>Fixsler</w:t>
      </w:r>
      <w:r w:rsidRPr="007178FB">
        <w:rPr>
          <w:sz w:val="20"/>
          <w:szCs w:val="20"/>
        </w:rPr>
        <w:t xml:space="preserve"> [2021] EWHC 1426 [3]</w:t>
      </w:r>
      <w:r w:rsidR="00870C11">
        <w:rPr>
          <w:sz w:val="20"/>
          <w:szCs w:val="20"/>
        </w:rPr>
        <w:t>.</w:t>
      </w:r>
    </w:p>
  </w:footnote>
  <w:footnote w:id="71">
    <w:p w:rsidR="003B15FE" w:rsidRDefault="003B15FE" w14:paraId="258C9953" w14:textId="63BB694E">
      <w:pPr>
        <w:pStyle w:val="FootnoteText"/>
      </w:pPr>
      <w:r>
        <w:rPr>
          <w:rStyle w:val="FootnoteReference"/>
        </w:rPr>
        <w:footnoteRef/>
      </w:r>
      <w:r w:rsidRPr="007178FB" w:rsidR="00760214">
        <w:rPr>
          <w:i/>
          <w:iCs/>
        </w:rPr>
        <w:t>Manchester University NHS Foundation Trust</w:t>
      </w:r>
      <w:r w:rsidRPr="007178FB" w:rsidR="00760214">
        <w:t xml:space="preserve"> v </w:t>
      </w:r>
      <w:r w:rsidRPr="007178FB" w:rsidR="00760214">
        <w:rPr>
          <w:i/>
          <w:iCs/>
        </w:rPr>
        <w:t>Fixsler</w:t>
      </w:r>
      <w:r w:rsidRPr="007178FB" w:rsidR="00760214">
        <w:t xml:space="preserve"> [2021] EWHC 1426 </w:t>
      </w:r>
      <w:r w:rsidR="000B18D7">
        <w:t>[72]</w:t>
      </w:r>
      <w:r w:rsidR="00870C11">
        <w:t>.</w:t>
      </w:r>
    </w:p>
  </w:footnote>
  <w:footnote w:id="72">
    <w:p w:rsidR="00ED5C83" w:rsidRDefault="00ED5C83" w14:paraId="44BC3173" w14:textId="1DCEC14B">
      <w:pPr>
        <w:pStyle w:val="FootnoteText"/>
      </w:pPr>
      <w:r>
        <w:rPr>
          <w:rStyle w:val="FootnoteReference"/>
        </w:rPr>
        <w:footnoteRef/>
      </w:r>
      <w:r>
        <w:t xml:space="preserve"> </w:t>
      </w:r>
      <w:r w:rsidRPr="0031583C">
        <w:t>Michal Pruski, ‘Alta Fixsler: Medico-Legal Paternalism in UK Paediatric Best Interest Decisions’ (2022) 37(1) Issues in Law &amp; Medicine 81</w:t>
      </w:r>
      <w:r w:rsidR="00A722F5">
        <w:t>, 85.</w:t>
      </w:r>
    </w:p>
  </w:footnote>
  <w:footnote w:id="73">
    <w:p w:rsidRPr="007178FB" w:rsidR="00EF26D6" w:rsidRDefault="00EF26D6" w14:paraId="126A87E9" w14:textId="621EC456">
      <w:pPr>
        <w:pStyle w:val="FootnoteText"/>
      </w:pPr>
      <w:r w:rsidRPr="007178FB">
        <w:rPr>
          <w:rStyle w:val="FootnoteReference"/>
        </w:rPr>
        <w:footnoteRef/>
      </w:r>
      <w:r w:rsidRPr="007178FB">
        <w:t xml:space="preserve"> </w:t>
      </w:r>
      <w:r w:rsidRPr="007178FB" w:rsidR="00CF5398">
        <w:rPr>
          <w:i/>
          <w:iCs/>
        </w:rPr>
        <w:t>Barts Health NHS Trust v Hollie Dance &amp; Paul Battersbee &amp; Archie Battersbee</w:t>
      </w:r>
      <w:r w:rsidRPr="007178FB" w:rsidR="00CF5398">
        <w:t xml:space="preserve"> [2022] EWHC 1435 (Fam)</w:t>
      </w:r>
      <w:r w:rsidR="00870C11">
        <w:t xml:space="preserve"> </w:t>
      </w:r>
      <w:r w:rsidR="00CF5398">
        <w:t>[10</w:t>
      </w:r>
      <w:r w:rsidR="003747FD">
        <w:t>2</w:t>
      </w:r>
      <w:r w:rsidR="00CF5398">
        <w:t>]</w:t>
      </w:r>
      <w:r w:rsidR="00870C11">
        <w:t>.</w:t>
      </w:r>
    </w:p>
  </w:footnote>
  <w:footnote w:id="74">
    <w:p w:rsidRPr="007178FB" w:rsidR="00DA0D07" w:rsidRDefault="00DA0D07" w14:paraId="33B21CB1" w14:textId="515F0EC1">
      <w:pPr>
        <w:pStyle w:val="FootnoteText"/>
      </w:pPr>
      <w:r w:rsidRPr="007178FB">
        <w:rPr>
          <w:rStyle w:val="FootnoteReference"/>
        </w:rPr>
        <w:footnoteRef/>
      </w:r>
      <w:r w:rsidRPr="007178FB">
        <w:t xml:space="preserve"> </w:t>
      </w:r>
      <w:r w:rsidRPr="007178FB" w:rsidR="002512E9">
        <w:rPr>
          <w:i/>
          <w:iCs/>
        </w:rPr>
        <w:t>Barts Health NHS Trust v Hollie Dance &amp; Paul Battersbee &amp; Archie Battersbee</w:t>
      </w:r>
      <w:r w:rsidRPr="007178FB" w:rsidR="002512E9">
        <w:t xml:space="preserve"> [2022] EWHC 1435 (Fam)</w:t>
      </w:r>
      <w:r w:rsidR="00870C11">
        <w:t xml:space="preserve"> </w:t>
      </w:r>
      <w:r w:rsidR="002512E9">
        <w:t>[107]</w:t>
      </w:r>
      <w:r w:rsidR="00870C11">
        <w:t>.</w:t>
      </w:r>
    </w:p>
  </w:footnote>
  <w:footnote w:id="75">
    <w:p w:rsidRPr="007178FB" w:rsidR="00EF7146" w:rsidRDefault="00EF7146" w14:paraId="7A17058F" w14:textId="46C5D116">
      <w:pPr>
        <w:pStyle w:val="FootnoteText"/>
      </w:pPr>
      <w:r w:rsidRPr="007178FB">
        <w:rPr>
          <w:rStyle w:val="FootnoteReference"/>
        </w:rPr>
        <w:footnoteRef/>
      </w:r>
      <w:r w:rsidRPr="007178FB">
        <w:rPr>
          <w:i/>
          <w:iCs/>
        </w:rPr>
        <w:t>Barts Health NHS Trust v Hollie Dance &amp; Paul Battersbee &amp; Archie Battersbee</w:t>
      </w:r>
      <w:r w:rsidRPr="007178FB">
        <w:t xml:space="preserve"> [2022] EWHC 1435 (Fam) [104]</w:t>
      </w:r>
      <w:r w:rsidR="00870C11">
        <w:t>.</w:t>
      </w:r>
    </w:p>
  </w:footnote>
  <w:footnote w:id="76">
    <w:p w:rsidR="001C200E" w:rsidRDefault="001C200E" w14:paraId="172703C5" w14:textId="453FE751">
      <w:pPr>
        <w:pStyle w:val="FootnoteText"/>
      </w:pPr>
      <w:r w:rsidRPr="007178FB">
        <w:rPr>
          <w:rStyle w:val="FootnoteReference"/>
        </w:rPr>
        <w:footnoteRef/>
      </w:r>
      <w:r w:rsidRPr="007178FB" w:rsidR="00B31074">
        <w:t xml:space="preserve"> </w:t>
      </w:r>
      <w:r w:rsidRPr="007178FB" w:rsidR="00B31074">
        <w:rPr>
          <w:i/>
          <w:iCs/>
        </w:rPr>
        <w:t>Barts Health NHS Trust v Hollie Dance &amp; Paul Battersbee &amp; Archie Battersbee</w:t>
      </w:r>
      <w:r w:rsidRPr="007178FB" w:rsidR="00B31074">
        <w:t xml:space="preserve"> [2022] EWHC 1435 (Fam)</w:t>
      </w:r>
      <w:r w:rsidRPr="007178FB">
        <w:t xml:space="preserve"> [3].</w:t>
      </w:r>
    </w:p>
  </w:footnote>
  <w:footnote w:id="77">
    <w:p w:rsidRPr="0031583C" w:rsidR="005E56A0" w:rsidP="00EC7D55" w:rsidRDefault="005E56A0" w14:paraId="65E1653C" w14:textId="4E921805">
      <w:pPr>
        <w:rPr>
          <w:sz w:val="20"/>
          <w:szCs w:val="20"/>
        </w:rPr>
      </w:pPr>
      <w:r w:rsidRPr="0031583C">
        <w:rPr>
          <w:rStyle w:val="FootnoteReference"/>
          <w:sz w:val="20"/>
          <w:szCs w:val="20"/>
        </w:rPr>
        <w:footnoteRef/>
      </w:r>
      <w:r w:rsidRPr="0031583C" w:rsidR="00EC7D55">
        <w:rPr>
          <w:sz w:val="20"/>
          <w:szCs w:val="20"/>
        </w:rPr>
        <w:t xml:space="preserve"> Mooney-Doyle </w:t>
      </w:r>
      <w:r w:rsidR="009F1054">
        <w:rPr>
          <w:sz w:val="20"/>
          <w:szCs w:val="20"/>
        </w:rPr>
        <w:t xml:space="preserve">(n48) </w:t>
      </w:r>
      <w:r w:rsidRPr="0031583C" w:rsidR="00A6525C">
        <w:rPr>
          <w:sz w:val="20"/>
          <w:szCs w:val="20"/>
        </w:rPr>
        <w:t>828.</w:t>
      </w:r>
      <w:r w:rsidRPr="0031583C" w:rsidR="00EC7D55">
        <w:rPr>
          <w:sz w:val="20"/>
          <w:szCs w:val="20"/>
        </w:rPr>
        <w:t xml:space="preserve"> </w:t>
      </w:r>
    </w:p>
  </w:footnote>
  <w:footnote w:id="78">
    <w:p w:rsidR="00931EA7" w:rsidRDefault="00931EA7" w14:paraId="535A2EBD" w14:textId="27C3B9F7">
      <w:pPr>
        <w:pStyle w:val="FootnoteText"/>
      </w:pPr>
      <w:r>
        <w:rPr>
          <w:rStyle w:val="FootnoteReference"/>
        </w:rPr>
        <w:footnoteRef/>
      </w:r>
      <w:r>
        <w:t xml:space="preserve"> </w:t>
      </w:r>
      <w:r w:rsidRPr="00F6019C">
        <w:t xml:space="preserve"> Pruski</w:t>
      </w:r>
      <w:r w:rsidR="009F1054">
        <w:t xml:space="preserve"> (n71) </w:t>
      </w:r>
      <w:r w:rsidRPr="00F6019C">
        <w:t>83</w:t>
      </w:r>
      <w:r w:rsidR="00870C11">
        <w:t>.</w:t>
      </w:r>
    </w:p>
  </w:footnote>
  <w:footnote w:id="79">
    <w:p w:rsidRPr="00F6019C" w:rsidR="00601BD9" w:rsidP="00384A3C" w:rsidRDefault="00601BD9" w14:paraId="4CE0B455" w14:textId="29F6A9C7">
      <w:pPr>
        <w:rPr>
          <w:sz w:val="20"/>
          <w:szCs w:val="20"/>
        </w:rPr>
      </w:pPr>
      <w:r w:rsidRPr="00F6019C">
        <w:rPr>
          <w:rStyle w:val="FootnoteReference"/>
          <w:sz w:val="20"/>
          <w:szCs w:val="20"/>
        </w:rPr>
        <w:footnoteRef/>
      </w:r>
      <w:r w:rsidRPr="00F6019C">
        <w:rPr>
          <w:sz w:val="20"/>
          <w:szCs w:val="20"/>
        </w:rPr>
        <w:t xml:space="preserve"> </w:t>
      </w:r>
      <w:r w:rsidR="009F1054">
        <w:rPr>
          <w:sz w:val="20"/>
          <w:szCs w:val="20"/>
        </w:rPr>
        <w:t xml:space="preserve">ibid </w:t>
      </w:r>
      <w:r w:rsidRPr="00F6019C" w:rsidR="0031583C">
        <w:rPr>
          <w:sz w:val="20"/>
          <w:szCs w:val="20"/>
        </w:rPr>
        <w:t>83.</w:t>
      </w:r>
    </w:p>
  </w:footnote>
  <w:footnote w:id="80">
    <w:p w:rsidRPr="00F6019C" w:rsidR="00C57576" w:rsidRDefault="00C57576" w14:paraId="40D918F7" w14:textId="1F6F6D11">
      <w:pPr>
        <w:pStyle w:val="FootnoteText"/>
      </w:pPr>
      <w:r w:rsidRPr="00F6019C">
        <w:rPr>
          <w:rStyle w:val="FootnoteReference"/>
        </w:rPr>
        <w:footnoteRef/>
      </w:r>
      <w:r w:rsidRPr="00F6019C">
        <w:t xml:space="preserve"> </w:t>
      </w:r>
      <w:r w:rsidR="009F1054">
        <w:t xml:space="preserve">ibid </w:t>
      </w:r>
      <w:r w:rsidRPr="00F6019C">
        <w:t>84.</w:t>
      </w:r>
    </w:p>
  </w:footnote>
  <w:footnote w:id="81">
    <w:p w:rsidRPr="00F6019C" w:rsidR="00F7732F" w:rsidP="00F6019C" w:rsidRDefault="00F7732F" w14:paraId="137238F1" w14:textId="35F412EC">
      <w:pPr>
        <w:rPr>
          <w:sz w:val="20"/>
          <w:szCs w:val="20"/>
        </w:rPr>
      </w:pPr>
      <w:r w:rsidRPr="00F6019C">
        <w:rPr>
          <w:rStyle w:val="FootnoteReference"/>
          <w:sz w:val="20"/>
          <w:szCs w:val="20"/>
        </w:rPr>
        <w:footnoteRef/>
      </w:r>
      <w:r w:rsidRPr="00F6019C">
        <w:rPr>
          <w:sz w:val="20"/>
          <w:szCs w:val="20"/>
        </w:rPr>
        <w:t xml:space="preserve"> </w:t>
      </w:r>
      <w:r w:rsidRPr="00F6019C" w:rsidR="00450582">
        <w:rPr>
          <w:sz w:val="20"/>
          <w:szCs w:val="20"/>
        </w:rPr>
        <w:t xml:space="preserve">Rob Heywood, ‘Parents and Medical Professionals: Conﬂict, Cooperation, and Best Interests’ (2012) 20 (1) Medical Law Review 29, </w:t>
      </w:r>
      <w:r w:rsidRPr="00F6019C" w:rsidR="00F6019C">
        <w:rPr>
          <w:sz w:val="20"/>
          <w:szCs w:val="20"/>
        </w:rPr>
        <w:t>33.</w:t>
      </w:r>
    </w:p>
  </w:footnote>
  <w:footnote w:id="82">
    <w:p w:rsidRPr="00F6019C" w:rsidR="008B24E8" w:rsidP="00F6019C" w:rsidRDefault="008B24E8" w14:paraId="494C4D67" w14:textId="7DCC374D">
      <w:pPr>
        <w:rPr>
          <w:sz w:val="20"/>
          <w:szCs w:val="20"/>
        </w:rPr>
      </w:pPr>
      <w:r w:rsidRPr="00F6019C">
        <w:rPr>
          <w:rStyle w:val="FootnoteReference"/>
          <w:sz w:val="20"/>
          <w:szCs w:val="20"/>
        </w:rPr>
        <w:footnoteRef/>
      </w:r>
      <w:r w:rsidRPr="00F6019C">
        <w:rPr>
          <w:sz w:val="20"/>
          <w:szCs w:val="20"/>
        </w:rPr>
        <w:t xml:space="preserve"> </w:t>
      </w:r>
      <w:r w:rsidRPr="00F6019C" w:rsidR="00F7732F">
        <w:rPr>
          <w:sz w:val="20"/>
          <w:szCs w:val="20"/>
        </w:rPr>
        <w:t>Cressida Auckland and Imogen Goold, ‘Parental Rights, Best Interests and Significant Harms: Who should have the final say over a child’s medical care?’ (2019) 78(2) Cambridge Law Journal 287.</w:t>
      </w:r>
    </w:p>
  </w:footnote>
  <w:footnote w:id="83">
    <w:p w:rsidR="00280341" w:rsidRDefault="00280341" w14:paraId="3EE2FFA4" w14:textId="758B8ABC">
      <w:pPr>
        <w:pStyle w:val="FootnoteText"/>
      </w:pPr>
      <w:r>
        <w:rPr>
          <w:rStyle w:val="FootnoteReference"/>
        </w:rPr>
        <w:footnoteRef/>
      </w:r>
      <w:r>
        <w:t xml:space="preserve"> </w:t>
      </w:r>
      <w:r w:rsidRPr="00F6019C" w:rsidR="00344CD0">
        <w:t>Dolan</w:t>
      </w:r>
      <w:r w:rsidR="00344CD0">
        <w:t xml:space="preserve"> (n61) 2.</w:t>
      </w:r>
    </w:p>
  </w:footnote>
  <w:footnote w:id="84">
    <w:p w:rsidRPr="00F6019C" w:rsidR="00C77E11" w:rsidP="00C77E11" w:rsidRDefault="00C77E11" w14:paraId="7EC0665B" w14:textId="75158C3D">
      <w:pPr>
        <w:rPr>
          <w:sz w:val="20"/>
          <w:szCs w:val="20"/>
        </w:rPr>
      </w:pPr>
      <w:r w:rsidRPr="00F6019C">
        <w:rPr>
          <w:rStyle w:val="FootnoteReference"/>
          <w:sz w:val="20"/>
          <w:szCs w:val="20"/>
        </w:rPr>
        <w:footnoteRef/>
      </w:r>
      <w:r w:rsidRPr="00F6019C">
        <w:rPr>
          <w:sz w:val="20"/>
          <w:szCs w:val="20"/>
        </w:rPr>
        <w:t xml:space="preserve"> </w:t>
      </w:r>
      <w:r w:rsidR="00344CD0">
        <w:rPr>
          <w:sz w:val="20"/>
          <w:szCs w:val="20"/>
        </w:rPr>
        <w:t xml:space="preserve">ibid </w:t>
      </w:r>
      <w:r w:rsidRPr="00F6019C">
        <w:rPr>
          <w:sz w:val="20"/>
          <w:szCs w:val="20"/>
        </w:rPr>
        <w:t>7</w:t>
      </w:r>
      <w:r w:rsidR="00344CD0">
        <w:rPr>
          <w:sz w:val="20"/>
          <w:szCs w:val="20"/>
        </w:rPr>
        <w:t>.</w:t>
      </w:r>
    </w:p>
  </w:footnote>
  <w:footnote w:id="85">
    <w:p w:rsidRPr="00196F61" w:rsidR="00273038" w:rsidRDefault="00273038" w14:paraId="1D099E87" w14:textId="1502E87B">
      <w:pPr>
        <w:pStyle w:val="FootnoteText"/>
      </w:pPr>
      <w:r w:rsidRPr="00196F61">
        <w:rPr>
          <w:rStyle w:val="FootnoteReference"/>
        </w:rPr>
        <w:footnoteRef/>
      </w:r>
      <w:r w:rsidRPr="00196F61">
        <w:t xml:space="preserve"> Mooney-Doyle </w:t>
      </w:r>
      <w:r w:rsidR="004D3E4B">
        <w:t>(</w:t>
      </w:r>
      <w:r w:rsidR="00B337DC">
        <w:t xml:space="preserve">n48) </w:t>
      </w:r>
      <w:r w:rsidRPr="00196F61" w:rsidR="009B6DFD">
        <w:t>832.</w:t>
      </w:r>
    </w:p>
  </w:footnote>
  <w:footnote w:id="86">
    <w:p w:rsidRPr="00196F61" w:rsidR="006366C7" w:rsidP="007D2C2D" w:rsidRDefault="006366C7" w14:paraId="5C1F0DD0" w14:textId="3742EA0E">
      <w:pPr>
        <w:rPr>
          <w:sz w:val="20"/>
          <w:szCs w:val="20"/>
        </w:rPr>
      </w:pPr>
      <w:r w:rsidRPr="00196F61">
        <w:rPr>
          <w:rStyle w:val="FootnoteReference"/>
          <w:sz w:val="20"/>
          <w:szCs w:val="20"/>
        </w:rPr>
        <w:footnoteRef/>
      </w:r>
      <w:r w:rsidRPr="00196F61">
        <w:rPr>
          <w:sz w:val="20"/>
          <w:szCs w:val="20"/>
        </w:rPr>
        <w:t xml:space="preserve"> </w:t>
      </w:r>
      <w:r w:rsidRPr="00196F61" w:rsidR="00907BEA">
        <w:rPr>
          <w:sz w:val="20"/>
          <w:szCs w:val="20"/>
        </w:rPr>
        <w:t xml:space="preserve">Dominic Wilkinson, ‘In Defence of a Conditional Harm Threshold Test for Paediatric Decision-Making’ in Goold I, Herring J and Auckland C (eds) </w:t>
      </w:r>
      <w:r w:rsidRPr="00196F61" w:rsidR="00907BEA">
        <w:rPr>
          <w:i/>
          <w:iCs/>
          <w:sz w:val="20"/>
          <w:szCs w:val="20"/>
        </w:rPr>
        <w:t xml:space="preserve">Parental Rights, Best Interests and Significant Harms </w:t>
      </w:r>
      <w:r w:rsidRPr="00196F61" w:rsidR="00907BEA">
        <w:rPr>
          <w:sz w:val="20"/>
          <w:szCs w:val="20"/>
        </w:rPr>
        <w:t>(Hart 2019) 85</w:t>
      </w:r>
      <w:r w:rsidRPr="00196F61" w:rsidR="007D2C2D">
        <w:rPr>
          <w:sz w:val="20"/>
          <w:szCs w:val="20"/>
        </w:rPr>
        <w:t>,88.</w:t>
      </w:r>
    </w:p>
  </w:footnote>
  <w:footnote w:id="87">
    <w:p w:rsidRPr="00196F61" w:rsidR="00381A6C" w:rsidP="00CA3010" w:rsidRDefault="00381A6C" w14:paraId="02AD7087" w14:textId="4EB8C6F9">
      <w:pPr>
        <w:rPr>
          <w:sz w:val="20"/>
          <w:szCs w:val="20"/>
        </w:rPr>
      </w:pPr>
      <w:r w:rsidRPr="00196F61">
        <w:rPr>
          <w:rStyle w:val="FootnoteReference"/>
          <w:sz w:val="20"/>
          <w:szCs w:val="20"/>
        </w:rPr>
        <w:footnoteRef/>
      </w:r>
      <w:r w:rsidRPr="00196F61">
        <w:rPr>
          <w:sz w:val="20"/>
          <w:szCs w:val="20"/>
        </w:rPr>
        <w:t xml:space="preserve"> </w:t>
      </w:r>
      <w:r w:rsidRPr="00196F61" w:rsidR="0093394C">
        <w:rPr>
          <w:sz w:val="20"/>
          <w:szCs w:val="20"/>
        </w:rPr>
        <w:t>Anne Zimmerman, ‘The trauma of disregard: Doing justice to parental healthcare values in conflicts in pediatric medical care’ (2021) 7 Voices in Bioethics 1</w:t>
      </w:r>
      <w:r w:rsidRPr="00196F61" w:rsidR="00CA3010">
        <w:rPr>
          <w:sz w:val="20"/>
          <w:szCs w:val="20"/>
        </w:rPr>
        <w:t xml:space="preserve">,2. </w:t>
      </w:r>
      <w:r w:rsidRPr="00196F61" w:rsidR="0093394C">
        <w:rPr>
          <w:sz w:val="20"/>
          <w:szCs w:val="20"/>
        </w:rPr>
        <w:t xml:space="preserve"> </w:t>
      </w:r>
    </w:p>
  </w:footnote>
  <w:footnote w:id="88">
    <w:p w:rsidRPr="00196F61" w:rsidR="003F35D9" w:rsidP="003F35D9" w:rsidRDefault="003F35D9" w14:paraId="4078C2A2" w14:textId="56CB94A4">
      <w:pPr>
        <w:pStyle w:val="FootnoteText"/>
      </w:pPr>
      <w:r w:rsidRPr="00196F61">
        <w:rPr>
          <w:rStyle w:val="FootnoteReference"/>
        </w:rPr>
        <w:footnoteRef/>
      </w:r>
      <w:r w:rsidRPr="00196F61">
        <w:t xml:space="preserve"> </w:t>
      </w:r>
      <w:r w:rsidRPr="00F6019C" w:rsidR="0043508E">
        <w:t>Auckland</w:t>
      </w:r>
      <w:r w:rsidR="00B337DC">
        <w:t xml:space="preserve"> (</w:t>
      </w:r>
      <w:r w:rsidR="00D62E6E">
        <w:t xml:space="preserve">n81) </w:t>
      </w:r>
      <w:r w:rsidR="00B57564">
        <w:t>306.</w:t>
      </w:r>
    </w:p>
  </w:footnote>
  <w:footnote w:id="89">
    <w:p w:rsidRPr="00196F61" w:rsidR="00E2055F" w:rsidP="00E2055F" w:rsidRDefault="00E2055F" w14:paraId="7D00641B" w14:textId="1AC21066">
      <w:pPr>
        <w:rPr>
          <w:sz w:val="20"/>
          <w:szCs w:val="20"/>
        </w:rPr>
      </w:pPr>
      <w:r w:rsidRPr="00196F61">
        <w:rPr>
          <w:rStyle w:val="FootnoteReference"/>
          <w:sz w:val="20"/>
          <w:szCs w:val="20"/>
        </w:rPr>
        <w:footnoteRef/>
      </w:r>
      <w:r w:rsidRPr="00196F61">
        <w:rPr>
          <w:sz w:val="20"/>
          <w:szCs w:val="20"/>
        </w:rPr>
        <w:t xml:space="preserve"> Cressida Auckland and Imogen Goold, ‘Resolving Disagreement: A Multi-Jurisdictional Comparative Analysis of Disputes about Children’s Medical Care’ (2020) 28(4) Medical Law Review 643, 658</w:t>
      </w:r>
      <w:r w:rsidR="00870C11">
        <w:rPr>
          <w:sz w:val="20"/>
          <w:szCs w:val="20"/>
        </w:rPr>
        <w:t>.</w:t>
      </w:r>
    </w:p>
  </w:footnote>
  <w:footnote w:id="90">
    <w:p w:rsidRPr="00196F61" w:rsidR="00230C2C" w:rsidRDefault="00230C2C" w14:paraId="1C703DAD" w14:textId="7313291A">
      <w:pPr>
        <w:pStyle w:val="FootnoteText"/>
      </w:pPr>
      <w:r w:rsidRPr="00196F61">
        <w:rPr>
          <w:rStyle w:val="FootnoteReference"/>
        </w:rPr>
        <w:footnoteRef/>
      </w:r>
      <w:r w:rsidRPr="00196F61">
        <w:t xml:space="preserve"> </w:t>
      </w:r>
      <w:r w:rsidRPr="00196F61" w:rsidR="008C2435">
        <w:t>Moore</w:t>
      </w:r>
      <w:r w:rsidR="00D62E6E">
        <w:t xml:space="preserve"> (n63) </w:t>
      </w:r>
      <w:r w:rsidRPr="00196F61" w:rsidR="008C2435">
        <w:t>70</w:t>
      </w:r>
      <w:r w:rsidR="00D62E6E">
        <w:t>.</w:t>
      </w:r>
    </w:p>
  </w:footnote>
  <w:footnote w:id="91">
    <w:p w:rsidRPr="00196F61" w:rsidR="00CE66C9" w:rsidP="00E2055F" w:rsidRDefault="00CE66C9" w14:paraId="2301D407" w14:textId="0033C7BF">
      <w:pPr>
        <w:rPr>
          <w:sz w:val="20"/>
          <w:szCs w:val="20"/>
        </w:rPr>
      </w:pPr>
      <w:r w:rsidRPr="00196F61">
        <w:rPr>
          <w:rStyle w:val="FootnoteReference"/>
          <w:sz w:val="20"/>
          <w:szCs w:val="20"/>
        </w:rPr>
        <w:footnoteRef/>
      </w:r>
      <w:r w:rsidRPr="00196F61">
        <w:rPr>
          <w:sz w:val="20"/>
          <w:szCs w:val="20"/>
        </w:rPr>
        <w:t xml:space="preserve"> </w:t>
      </w:r>
      <w:r w:rsidRPr="00196F61" w:rsidR="000F3FA7">
        <w:rPr>
          <w:sz w:val="20"/>
          <w:szCs w:val="20"/>
        </w:rPr>
        <w:t xml:space="preserve"> </w:t>
      </w:r>
      <w:r w:rsidRPr="00196F61" w:rsidR="000B421C">
        <w:rPr>
          <w:sz w:val="20"/>
          <w:szCs w:val="20"/>
        </w:rPr>
        <w:t xml:space="preserve">Auckland </w:t>
      </w:r>
      <w:r w:rsidR="00D62E6E">
        <w:rPr>
          <w:sz w:val="20"/>
          <w:szCs w:val="20"/>
        </w:rPr>
        <w:t>(n8</w:t>
      </w:r>
      <w:r w:rsidR="00791D60">
        <w:rPr>
          <w:sz w:val="20"/>
          <w:szCs w:val="20"/>
        </w:rPr>
        <w:t>8</w:t>
      </w:r>
      <w:r w:rsidR="00D62E6E">
        <w:rPr>
          <w:sz w:val="20"/>
          <w:szCs w:val="20"/>
        </w:rPr>
        <w:t xml:space="preserve">) </w:t>
      </w:r>
      <w:r w:rsidRPr="00196F61" w:rsidR="000F3FA7">
        <w:rPr>
          <w:sz w:val="20"/>
          <w:szCs w:val="20"/>
        </w:rPr>
        <w:t>658.</w:t>
      </w:r>
    </w:p>
  </w:footnote>
  <w:footnote w:id="92">
    <w:p w:rsidRPr="00196F61" w:rsidR="002512E9" w:rsidP="002512E9" w:rsidRDefault="002512E9" w14:paraId="69A4D021" w14:textId="18BAEFA1">
      <w:pPr>
        <w:pStyle w:val="FootnoteText"/>
      </w:pPr>
      <w:r w:rsidRPr="00196F61">
        <w:rPr>
          <w:rStyle w:val="FootnoteReference"/>
        </w:rPr>
        <w:footnoteRef/>
      </w:r>
      <w:r w:rsidRPr="00196F61">
        <w:t xml:space="preserve"> </w:t>
      </w:r>
      <w:r w:rsidRPr="00196F61">
        <w:rPr>
          <w:i/>
          <w:iCs/>
        </w:rPr>
        <w:t>Barts Health NHS Trust v Hollie Dance &amp; Paul Battersbee &amp; Archie Battersbee</w:t>
      </w:r>
      <w:r w:rsidRPr="00196F61">
        <w:t xml:space="preserve"> [2022] EWHC 1435 (Fam)</w:t>
      </w:r>
      <w:r w:rsidR="009C0D17">
        <w:t>.</w:t>
      </w:r>
    </w:p>
  </w:footnote>
  <w:footnote w:id="93">
    <w:p w:rsidRPr="00196F61" w:rsidR="00E91EC3" w:rsidP="00E91EC3" w:rsidRDefault="00E91EC3" w14:paraId="10324EC3" w14:textId="77777777">
      <w:pPr>
        <w:pStyle w:val="FootnoteText"/>
      </w:pPr>
      <w:r w:rsidRPr="00196F61">
        <w:rPr>
          <w:rStyle w:val="FootnoteReference"/>
        </w:rPr>
        <w:footnoteRef/>
      </w:r>
      <w:r w:rsidRPr="00196F61">
        <w:t xml:space="preserve"> Claudia Brick et al, ‘Worth Living or Worth Dying?: The views of the general public about allowing disabled children to die’ (2020) 46 J Med Ethics 7. </w:t>
      </w:r>
    </w:p>
  </w:footnote>
  <w:footnote w:id="94">
    <w:p w:rsidRPr="00E2055F" w:rsidR="00E91EC3" w:rsidP="00E91EC3" w:rsidRDefault="00E91EC3" w14:paraId="5BF81C1E" w14:textId="77777777">
      <w:pPr>
        <w:rPr>
          <w:sz w:val="20"/>
          <w:szCs w:val="20"/>
        </w:rPr>
      </w:pPr>
      <w:r w:rsidRPr="00196F61">
        <w:rPr>
          <w:rStyle w:val="FootnoteReference"/>
          <w:sz w:val="20"/>
          <w:szCs w:val="20"/>
        </w:rPr>
        <w:footnoteRef/>
      </w:r>
      <w:r w:rsidRPr="00196F61">
        <w:rPr>
          <w:sz w:val="20"/>
          <w:szCs w:val="20"/>
        </w:rPr>
        <w:t xml:space="preserve"> </w:t>
      </w:r>
      <w:r w:rsidRPr="00196F61">
        <w:rPr>
          <w:i/>
          <w:iCs/>
          <w:sz w:val="20"/>
          <w:szCs w:val="20"/>
        </w:rPr>
        <w:t xml:space="preserve">Manchester University NHS Foundation Trust </w:t>
      </w:r>
      <w:r w:rsidRPr="00196F61">
        <w:rPr>
          <w:sz w:val="20"/>
          <w:szCs w:val="20"/>
        </w:rPr>
        <w:t>v</w:t>
      </w:r>
      <w:r w:rsidRPr="00196F61">
        <w:rPr>
          <w:i/>
          <w:iCs/>
          <w:sz w:val="20"/>
          <w:szCs w:val="20"/>
        </w:rPr>
        <w:t xml:space="preserve"> William Verden &amp; Amy McLennan</w:t>
      </w:r>
      <w:r w:rsidRPr="00196F61">
        <w:rPr>
          <w:sz w:val="20"/>
          <w:szCs w:val="20"/>
        </w:rPr>
        <w:t xml:space="preserve"> [2022] EWCOP 9 [125].</w:t>
      </w:r>
    </w:p>
  </w:footnote>
  <w:footnote w:id="95">
    <w:p w:rsidR="00486126" w:rsidRDefault="00486126" w14:paraId="41FE9FCA" w14:textId="0FE06CB8">
      <w:pPr>
        <w:pStyle w:val="FootnoteText"/>
      </w:pPr>
      <w:r w:rsidRPr="00E2055F">
        <w:rPr>
          <w:rStyle w:val="FootnoteReference"/>
        </w:rPr>
        <w:footnoteRef/>
      </w:r>
      <w:r w:rsidRPr="00E2055F" w:rsidR="002F2449">
        <w:t xml:space="preserve"> Pruski</w:t>
      </w:r>
      <w:r w:rsidR="009838C0">
        <w:t xml:space="preserve"> (n71) </w:t>
      </w:r>
      <w:r w:rsidRPr="00E2055F" w:rsidR="002F2449">
        <w:t>85</w:t>
      </w:r>
      <w:r w:rsidR="009838C0">
        <w:t>.</w:t>
      </w:r>
    </w:p>
  </w:footnote>
  <w:footnote w:id="96">
    <w:p w:rsidRPr="00274972" w:rsidR="007D4AE6" w:rsidRDefault="007D4AE6" w14:paraId="0FD63409" w14:textId="19930E77">
      <w:pPr>
        <w:pStyle w:val="FootnoteText"/>
      </w:pPr>
      <w:r w:rsidRPr="00274972">
        <w:rPr>
          <w:rStyle w:val="FootnoteReference"/>
        </w:rPr>
        <w:footnoteRef/>
      </w:r>
      <w:r w:rsidR="009838C0">
        <w:t xml:space="preserve"> ibid </w:t>
      </w:r>
      <w:r w:rsidRPr="00274972" w:rsidR="007549A8">
        <w:t>86.</w:t>
      </w:r>
    </w:p>
  </w:footnote>
  <w:footnote w:id="97">
    <w:p w:rsidRPr="00274972" w:rsidR="00DF4AA9" w:rsidRDefault="00DF4AA9" w14:paraId="10F46726" w14:textId="33B702B7">
      <w:pPr>
        <w:pStyle w:val="FootnoteText"/>
      </w:pPr>
      <w:r w:rsidRPr="00274972">
        <w:rPr>
          <w:rStyle w:val="FootnoteReference"/>
        </w:rPr>
        <w:footnoteRef/>
      </w:r>
      <w:r w:rsidRPr="00274972">
        <w:t xml:space="preserve"> Wilkinson</w:t>
      </w:r>
      <w:r w:rsidR="0091457E">
        <w:t xml:space="preserve"> (n8</w:t>
      </w:r>
      <w:r w:rsidR="00791D60">
        <w:t>5</w:t>
      </w:r>
      <w:r w:rsidR="009C0D17">
        <w:t xml:space="preserve">) </w:t>
      </w:r>
      <w:r w:rsidRPr="00274972" w:rsidR="00EC0823">
        <w:t>100.</w:t>
      </w:r>
    </w:p>
  </w:footnote>
  <w:footnote w:id="98">
    <w:p w:rsidRPr="00274972" w:rsidR="0053772B" w:rsidP="0053772B" w:rsidRDefault="0053772B" w14:paraId="0D3C78D7" w14:textId="0EEFE2E0">
      <w:pPr>
        <w:pStyle w:val="FootnoteText"/>
      </w:pPr>
      <w:r w:rsidRPr="00274972">
        <w:rPr>
          <w:rStyle w:val="FootnoteReference"/>
        </w:rPr>
        <w:footnoteRef/>
      </w:r>
      <w:r w:rsidRPr="00274972">
        <w:t xml:space="preserve"> </w:t>
      </w:r>
      <w:r w:rsidRPr="00274972">
        <w:rPr>
          <w:i/>
          <w:iCs/>
        </w:rPr>
        <w:t>Tafida Raqeeb</w:t>
      </w:r>
      <w:r w:rsidRPr="00274972">
        <w:t xml:space="preserve"> v </w:t>
      </w:r>
      <w:r w:rsidRPr="00274972">
        <w:rPr>
          <w:i/>
          <w:iCs/>
        </w:rPr>
        <w:t>Barts NHS Foundation Trust</w:t>
      </w:r>
      <w:r w:rsidRPr="00274972">
        <w:t xml:space="preserve"> [2019] EWHC 2531 (admin</w:t>
      </w:r>
      <w:r w:rsidR="009C0D17">
        <w:t>) [</w:t>
      </w:r>
      <w:r w:rsidRPr="00274972">
        <w:t>176]</w:t>
      </w:r>
      <w:r w:rsidR="009C0D17">
        <w:t>.</w:t>
      </w:r>
    </w:p>
  </w:footnote>
  <w:footnote w:id="99">
    <w:p w:rsidRPr="00274972" w:rsidR="006A23F6" w:rsidP="006A23F6" w:rsidRDefault="006A23F6" w14:paraId="5CABCA11" w14:textId="23DF6E4A">
      <w:pPr>
        <w:rPr>
          <w:sz w:val="20"/>
          <w:szCs w:val="20"/>
        </w:rPr>
      </w:pPr>
      <w:r w:rsidRPr="00274972">
        <w:rPr>
          <w:rStyle w:val="FootnoteReference"/>
          <w:sz w:val="20"/>
          <w:szCs w:val="20"/>
        </w:rPr>
        <w:footnoteRef/>
      </w:r>
      <w:r w:rsidRPr="00274972">
        <w:rPr>
          <w:sz w:val="20"/>
          <w:szCs w:val="20"/>
        </w:rPr>
        <w:t xml:space="preserve"> </w:t>
      </w:r>
      <w:r w:rsidRPr="00274972">
        <w:rPr>
          <w:i/>
          <w:iCs/>
          <w:sz w:val="20"/>
          <w:szCs w:val="20"/>
        </w:rPr>
        <w:t>Guy’s and St Thomas’s Children’s NHS Foundation Trust</w:t>
      </w:r>
      <w:r w:rsidRPr="00274972">
        <w:rPr>
          <w:sz w:val="20"/>
          <w:szCs w:val="20"/>
        </w:rPr>
        <w:t xml:space="preserve"> v </w:t>
      </w:r>
      <w:r w:rsidRPr="00274972">
        <w:rPr>
          <w:i/>
          <w:iCs/>
          <w:sz w:val="20"/>
          <w:szCs w:val="20"/>
        </w:rPr>
        <w:t>Knight</w:t>
      </w:r>
      <w:r w:rsidRPr="00274972">
        <w:rPr>
          <w:sz w:val="20"/>
          <w:szCs w:val="20"/>
        </w:rPr>
        <w:t xml:space="preserve"> [2021] EWHC 25</w:t>
      </w:r>
      <w:r w:rsidRPr="00274972" w:rsidR="00356E0B">
        <w:rPr>
          <w:sz w:val="20"/>
          <w:szCs w:val="20"/>
        </w:rPr>
        <w:t xml:space="preserve"> [86]</w:t>
      </w:r>
      <w:r w:rsidR="009C0D17">
        <w:rPr>
          <w:sz w:val="20"/>
          <w:szCs w:val="20"/>
        </w:rPr>
        <w:t>.</w:t>
      </w:r>
    </w:p>
  </w:footnote>
  <w:footnote w:id="100">
    <w:p w:rsidRPr="00274972" w:rsidR="00B05E5B" w:rsidRDefault="00B05E5B" w14:paraId="4028F446" w14:textId="4D96C83A">
      <w:pPr>
        <w:pStyle w:val="FootnoteText"/>
      </w:pPr>
      <w:r w:rsidRPr="00274972">
        <w:rPr>
          <w:rStyle w:val="FootnoteReference"/>
        </w:rPr>
        <w:footnoteRef/>
      </w:r>
      <w:r w:rsidRPr="00274972">
        <w:t xml:space="preserve"> </w:t>
      </w:r>
      <w:r w:rsidRPr="00274972">
        <w:rPr>
          <w:i/>
          <w:iCs/>
        </w:rPr>
        <w:t>Barts Health NHS Trust v Hollie Dance &amp; Paul Battersbee &amp; Archie Battersbee</w:t>
      </w:r>
      <w:r w:rsidRPr="00274972">
        <w:t xml:space="preserve"> [2022] EWHC 1435 (Fam) [</w:t>
      </w:r>
      <w:r w:rsidR="0012399A">
        <w:t>1</w:t>
      </w:r>
      <w:r w:rsidRPr="00274972">
        <w:t>67]</w:t>
      </w:r>
      <w:r w:rsidR="009C0D17">
        <w:t>.</w:t>
      </w:r>
    </w:p>
  </w:footnote>
  <w:footnote w:id="101">
    <w:p w:rsidRPr="00274972" w:rsidR="00D05B2A" w:rsidP="00D05B2A" w:rsidRDefault="00D05B2A" w14:paraId="1CDFC65C" w14:textId="77777777">
      <w:pPr>
        <w:rPr>
          <w:sz w:val="20"/>
          <w:szCs w:val="20"/>
        </w:rPr>
      </w:pPr>
      <w:r w:rsidRPr="00274972">
        <w:rPr>
          <w:rStyle w:val="FootnoteReference"/>
          <w:sz w:val="20"/>
          <w:szCs w:val="20"/>
        </w:rPr>
        <w:footnoteRef/>
      </w:r>
      <w:r w:rsidRPr="00274972">
        <w:rPr>
          <w:sz w:val="20"/>
          <w:szCs w:val="20"/>
        </w:rPr>
        <w:t xml:space="preserve"> Robert Wheeler, ‘Pippa Knight: Opening a Door to Dignity?’ (2021) 98 RCS Bulletin 268.</w:t>
      </w:r>
    </w:p>
  </w:footnote>
  <w:footnote w:id="102">
    <w:p w:rsidRPr="00183EC1" w:rsidR="00997BA4" w:rsidP="00183EC1" w:rsidRDefault="00997BA4" w14:paraId="2AB0BCC2" w14:textId="55FB22E7">
      <w:pPr>
        <w:rPr>
          <w:sz w:val="20"/>
          <w:szCs w:val="20"/>
        </w:rPr>
      </w:pPr>
      <w:r w:rsidRPr="00183EC1">
        <w:rPr>
          <w:rStyle w:val="FootnoteReference"/>
          <w:sz w:val="20"/>
          <w:szCs w:val="20"/>
        </w:rPr>
        <w:footnoteRef/>
      </w:r>
      <w:r w:rsidRPr="00183EC1">
        <w:rPr>
          <w:sz w:val="20"/>
          <w:szCs w:val="20"/>
        </w:rPr>
        <w:t xml:space="preserve"> </w:t>
      </w:r>
      <w:r w:rsidRPr="00183EC1" w:rsidR="00183EC1">
        <w:rPr>
          <w:sz w:val="20"/>
          <w:szCs w:val="20"/>
        </w:rPr>
        <w:t xml:space="preserve">Jesmont </w:t>
      </w:r>
      <w:r w:rsidR="00FE39B2">
        <w:rPr>
          <w:sz w:val="20"/>
          <w:szCs w:val="20"/>
        </w:rPr>
        <w:t xml:space="preserve">(n16) </w:t>
      </w:r>
      <w:r w:rsidRPr="00183EC1" w:rsidR="00183EC1">
        <w:rPr>
          <w:sz w:val="20"/>
          <w:szCs w:val="20"/>
        </w:rPr>
        <w:t>1238.</w:t>
      </w:r>
    </w:p>
  </w:footnote>
  <w:footnote w:id="103">
    <w:p w:rsidRPr="00DD3A4C" w:rsidR="00997BA4" w:rsidP="0014644E" w:rsidRDefault="00997BA4" w14:paraId="4C8CB8B9" w14:textId="7933722D">
      <w:pPr>
        <w:rPr>
          <w:sz w:val="20"/>
          <w:szCs w:val="20"/>
        </w:rPr>
      </w:pPr>
      <w:r w:rsidRPr="00DD3A4C">
        <w:rPr>
          <w:rStyle w:val="FootnoteReference"/>
          <w:sz w:val="20"/>
          <w:szCs w:val="20"/>
        </w:rPr>
        <w:footnoteRef/>
      </w:r>
      <w:r w:rsidRPr="00DD3A4C">
        <w:rPr>
          <w:sz w:val="20"/>
          <w:szCs w:val="20"/>
        </w:rPr>
        <w:t xml:space="preserve"> </w:t>
      </w:r>
      <w:r w:rsidRPr="00DD3A4C" w:rsidR="0014644E">
        <w:rPr>
          <w:sz w:val="20"/>
          <w:szCs w:val="20"/>
        </w:rPr>
        <w:t>Katz</w:t>
      </w:r>
      <w:r w:rsidR="00FE39B2">
        <w:rPr>
          <w:sz w:val="20"/>
          <w:szCs w:val="20"/>
        </w:rPr>
        <w:t xml:space="preserve"> (n58) </w:t>
      </w:r>
      <w:r w:rsidRPr="00DD3A4C" w:rsidR="0014644E">
        <w:rPr>
          <w:sz w:val="20"/>
          <w:szCs w:val="20"/>
        </w:rPr>
        <w:t>1370</w:t>
      </w:r>
      <w:r w:rsidRPr="00DD3A4C" w:rsidR="00DD3A4C">
        <w:rPr>
          <w:sz w:val="20"/>
          <w:szCs w:val="20"/>
        </w:rPr>
        <w:t>.</w:t>
      </w:r>
    </w:p>
  </w:footnote>
  <w:footnote w:id="104">
    <w:p w:rsidRPr="00DD3A4C" w:rsidR="00C76DDC" w:rsidP="00997BA4" w:rsidRDefault="00C76DDC" w14:paraId="63D24283" w14:textId="786B3728">
      <w:pPr>
        <w:rPr>
          <w:sz w:val="20"/>
          <w:szCs w:val="20"/>
        </w:rPr>
      </w:pPr>
      <w:r w:rsidRPr="00DD3A4C">
        <w:rPr>
          <w:rStyle w:val="FootnoteReference"/>
          <w:sz w:val="20"/>
          <w:szCs w:val="20"/>
        </w:rPr>
        <w:footnoteRef/>
      </w:r>
      <w:r w:rsidRPr="00DD3A4C">
        <w:rPr>
          <w:sz w:val="20"/>
          <w:szCs w:val="20"/>
        </w:rPr>
        <w:t xml:space="preserve"> </w:t>
      </w:r>
      <w:r w:rsidRPr="00DD3A4C" w:rsidR="00997BA4">
        <w:rPr>
          <w:sz w:val="20"/>
          <w:szCs w:val="20"/>
        </w:rPr>
        <w:t>Daniel Sokel, ‘An ethicist’s view on the Archie Battersbee case: a bad situation made worse’ (2022) 378 BMJ o1980.</w:t>
      </w:r>
    </w:p>
  </w:footnote>
  <w:footnote w:id="105">
    <w:p w:rsidRPr="00DD3A4C" w:rsidR="005E29A5" w:rsidRDefault="005E29A5" w14:paraId="19BCCAA8" w14:textId="368B7688">
      <w:pPr>
        <w:pStyle w:val="FootnoteText"/>
      </w:pPr>
      <w:r w:rsidRPr="00DD3A4C">
        <w:rPr>
          <w:rStyle w:val="FootnoteReference"/>
        </w:rPr>
        <w:footnoteRef/>
      </w:r>
      <w:r w:rsidRPr="00DD3A4C">
        <w:t xml:space="preserve"> </w:t>
      </w:r>
      <w:r w:rsidRPr="00DD3A4C" w:rsidR="00685B6B">
        <w:rPr>
          <w:i/>
          <w:iCs/>
        </w:rPr>
        <w:t>Barts Health NHS Trust v Dance</w:t>
      </w:r>
      <w:r w:rsidRPr="00DD3A4C" w:rsidR="00685B6B">
        <w:t xml:space="preserve"> [2022] EWHC 1165 (Fam) </w:t>
      </w:r>
      <w:r w:rsidRPr="00DD3A4C">
        <w:t>[86]</w:t>
      </w:r>
      <w:r w:rsidR="00EA75A6">
        <w:t>.</w:t>
      </w:r>
    </w:p>
  </w:footnote>
  <w:footnote w:id="106">
    <w:p w:rsidR="00BA6ED5" w:rsidRDefault="00BA6ED5" w14:paraId="087D965B" w14:textId="09C29FA8">
      <w:pPr>
        <w:pStyle w:val="FootnoteText"/>
      </w:pPr>
      <w:r>
        <w:rPr>
          <w:rStyle w:val="FootnoteReference"/>
        </w:rPr>
        <w:footnoteRef/>
      </w:r>
      <w:r>
        <w:t xml:space="preserve"> </w:t>
      </w:r>
      <w:r w:rsidRPr="001B3F0A" w:rsidR="00D90CB6">
        <w:t>Colin Wallis, ‘When Paediatricians and families can’t agree’ (2018) 103(5) Arch Dis Child 413.</w:t>
      </w:r>
    </w:p>
  </w:footnote>
  <w:footnote w:id="107">
    <w:p w:rsidR="002F14D5" w:rsidRDefault="002F14D5" w14:paraId="6DE51044" w14:textId="7F62229A">
      <w:pPr>
        <w:pStyle w:val="FootnoteText"/>
      </w:pPr>
      <w:r>
        <w:rPr>
          <w:rStyle w:val="FootnoteReference"/>
        </w:rPr>
        <w:footnoteRef/>
      </w:r>
      <w:r>
        <w:t xml:space="preserve"> </w:t>
      </w:r>
      <w:r w:rsidRPr="00183EC1">
        <w:t xml:space="preserve"> Jesmont</w:t>
      </w:r>
      <w:r w:rsidR="00790E27">
        <w:t xml:space="preserve"> (n16) </w:t>
      </w:r>
      <w:r w:rsidRPr="00183EC1">
        <w:t>1238.</w:t>
      </w:r>
    </w:p>
  </w:footnote>
  <w:footnote w:id="108">
    <w:p w:rsidRPr="00DD3A4C" w:rsidR="00171747" w:rsidP="00171747" w:rsidRDefault="00171747" w14:paraId="272B99A8" w14:textId="77777777">
      <w:pPr>
        <w:pStyle w:val="FootnoteText"/>
      </w:pPr>
      <w:r w:rsidRPr="00DD3A4C">
        <w:rPr>
          <w:rStyle w:val="FootnoteReference"/>
        </w:rPr>
        <w:footnoteRef/>
      </w:r>
      <w:r w:rsidRPr="00DD3A4C">
        <w:t xml:space="preserve"> Lorna K Fraser et al, ‘Estimating the current and future prevalence of life-limiting conditions in children in England’ (2021) 35 Palliative Medicine 1641, 1645.</w:t>
      </w:r>
    </w:p>
  </w:footnote>
  <w:footnote w:id="109">
    <w:p w:rsidRPr="006B7EA3" w:rsidR="00AE1E40" w:rsidP="00AE1E40" w:rsidRDefault="00AE1E40" w14:paraId="10669859" w14:textId="77777777">
      <w:pPr>
        <w:rPr>
          <w:sz w:val="20"/>
          <w:szCs w:val="20"/>
        </w:rPr>
      </w:pPr>
      <w:r w:rsidRPr="006B7EA3">
        <w:rPr>
          <w:rStyle w:val="FootnoteReference"/>
          <w:sz w:val="20"/>
          <w:szCs w:val="20"/>
        </w:rPr>
        <w:footnoteRef/>
      </w:r>
      <w:r w:rsidRPr="006B7EA3">
        <w:rPr>
          <w:sz w:val="20"/>
          <w:szCs w:val="20"/>
        </w:rPr>
        <w:t>Giles Birchley et al, ‘Factors affecting decision-making in children with complex care needs: a consensus approach to develop best practice in a UK children’s hospital’ (2022) 6(1) BMJ Paediatrics Open [e001589] 1.</w:t>
      </w:r>
    </w:p>
  </w:footnote>
  <w:footnote w:id="110">
    <w:p w:rsidRPr="0007318C" w:rsidR="00570519" w:rsidP="0007318C" w:rsidRDefault="00570519" w14:paraId="3DD1FA5A" w14:textId="2FFCEA7A">
      <w:pPr>
        <w:rPr>
          <w:sz w:val="20"/>
          <w:szCs w:val="20"/>
        </w:rPr>
      </w:pPr>
      <w:r w:rsidRPr="0007318C">
        <w:rPr>
          <w:rStyle w:val="FootnoteReference"/>
          <w:sz w:val="20"/>
          <w:szCs w:val="20"/>
        </w:rPr>
        <w:footnoteRef/>
      </w:r>
      <w:r w:rsidRPr="0007318C" w:rsidR="00D16CCD">
        <w:rPr>
          <w:sz w:val="20"/>
          <w:szCs w:val="20"/>
        </w:rPr>
        <w:t xml:space="preserve"> Kirsty Moreton and Joe Brierley, </w:t>
      </w:r>
      <w:r w:rsidRPr="0007318C" w:rsidR="002F49EF">
        <w:rPr>
          <w:sz w:val="20"/>
          <w:szCs w:val="20"/>
        </w:rPr>
        <w:t xml:space="preserve">‘The Ethical and Legal Challenges of Caring for Children with Medical Complexity’ (September 2022) Presented at the Annual Scientific Meeting of the </w:t>
      </w:r>
      <w:r w:rsidRPr="0007318C" w:rsidR="00DA01B5">
        <w:rPr>
          <w:sz w:val="20"/>
          <w:szCs w:val="20"/>
        </w:rPr>
        <w:t>Paediatric Critical Care</w:t>
      </w:r>
      <w:r w:rsidRPr="0007318C" w:rsidR="0007318C">
        <w:rPr>
          <w:sz w:val="20"/>
          <w:szCs w:val="20"/>
        </w:rPr>
        <w:t xml:space="preserve"> Society, </w:t>
      </w:r>
      <w:r w:rsidRPr="0007318C" w:rsidR="002F49EF">
        <w:rPr>
          <w:sz w:val="20"/>
          <w:szCs w:val="20"/>
        </w:rPr>
        <w:t xml:space="preserve">Leicester. </w:t>
      </w:r>
    </w:p>
  </w:footnote>
  <w:footnote w:id="111">
    <w:p w:rsidRPr="00AC5B40" w:rsidR="007A6FB3" w:rsidP="007A6FB3" w:rsidRDefault="007A6FB3" w14:paraId="45584F6B" w14:textId="1F4F234A">
      <w:pPr>
        <w:rPr>
          <w:sz w:val="20"/>
          <w:szCs w:val="20"/>
        </w:rPr>
      </w:pPr>
      <w:r w:rsidRPr="00D16CCD">
        <w:rPr>
          <w:rStyle w:val="FootnoteReference"/>
          <w:sz w:val="20"/>
          <w:szCs w:val="20"/>
        </w:rPr>
        <w:footnoteRef/>
      </w:r>
      <w:r w:rsidRPr="00D16CCD">
        <w:rPr>
          <w:sz w:val="20"/>
          <w:szCs w:val="20"/>
        </w:rPr>
        <w:t xml:space="preserve"> See for example, </w:t>
      </w:r>
      <w:r w:rsidRPr="00D16CCD">
        <w:rPr>
          <w:i/>
          <w:iCs/>
          <w:sz w:val="20"/>
          <w:szCs w:val="20"/>
        </w:rPr>
        <w:t xml:space="preserve">Birmingham Women’s and Children’s NHS Foundation Trust </w:t>
      </w:r>
      <w:r w:rsidRPr="00D16CCD">
        <w:rPr>
          <w:sz w:val="20"/>
          <w:szCs w:val="20"/>
        </w:rPr>
        <w:t>v</w:t>
      </w:r>
      <w:r w:rsidRPr="00D16CCD">
        <w:rPr>
          <w:i/>
          <w:iCs/>
          <w:sz w:val="20"/>
          <w:szCs w:val="20"/>
        </w:rPr>
        <w:t xml:space="preserve"> J &amp; M &amp; F</w:t>
      </w:r>
      <w:r w:rsidRPr="00D16CCD">
        <w:rPr>
          <w:sz w:val="20"/>
          <w:szCs w:val="20"/>
        </w:rPr>
        <w:t xml:space="preserve"> [2022] EWHC 2229; </w:t>
      </w:r>
      <w:r w:rsidRPr="00D16CCD">
        <w:rPr>
          <w:i/>
          <w:iCs/>
          <w:sz w:val="20"/>
          <w:szCs w:val="20"/>
        </w:rPr>
        <w:t>Great Ormond Street Hospital for Children NHS Foundation Trust</w:t>
      </w:r>
      <w:r w:rsidRPr="00D16CCD">
        <w:rPr>
          <w:sz w:val="20"/>
          <w:szCs w:val="20"/>
        </w:rPr>
        <w:t xml:space="preserve"> v</w:t>
      </w:r>
      <w:r w:rsidRPr="00D16CCD">
        <w:rPr>
          <w:i/>
          <w:iCs/>
          <w:sz w:val="20"/>
          <w:szCs w:val="20"/>
        </w:rPr>
        <w:t xml:space="preserve"> A Local Authority &amp; M &amp; J</w:t>
      </w:r>
      <w:r w:rsidRPr="00D16CCD">
        <w:rPr>
          <w:sz w:val="20"/>
          <w:szCs w:val="20"/>
        </w:rPr>
        <w:t xml:space="preserve"> [2022] EWHC 2596</w:t>
      </w:r>
      <w:r w:rsidR="00EA75A6">
        <w:rPr>
          <w:sz w:val="20"/>
          <w:szCs w:val="20"/>
        </w:rPr>
        <w:t>.</w:t>
      </w:r>
    </w:p>
  </w:footnote>
  <w:footnote w:id="112">
    <w:p w:rsidR="001A3276" w:rsidP="001A3276" w:rsidRDefault="001A3276" w14:paraId="21A9F3F7" w14:textId="77777777">
      <w:pPr>
        <w:pStyle w:val="FootnoteText"/>
      </w:pPr>
      <w:r>
        <w:rPr>
          <w:rStyle w:val="FootnoteReference"/>
        </w:rPr>
        <w:footnoteRef/>
      </w:r>
      <w:r>
        <w:t xml:space="preserve"> </w:t>
      </w:r>
      <w:r w:rsidRPr="004E3F43">
        <w:rPr>
          <w:i/>
          <w:iCs/>
        </w:rPr>
        <w:t>Re Z (Medical Treatment: Invasive Ventilation)</w:t>
      </w:r>
      <w:r>
        <w:t>[2021] EWHC 2613 (fam).</w:t>
      </w:r>
    </w:p>
  </w:footnote>
  <w:footnote w:id="113">
    <w:p w:rsidRPr="001A3276" w:rsidR="00E873B9" w:rsidRDefault="00E873B9" w14:paraId="3C2A5497" w14:textId="380AD6B3">
      <w:pPr>
        <w:pStyle w:val="FootnoteText"/>
      </w:pPr>
      <w:r>
        <w:rPr>
          <w:rStyle w:val="FootnoteReference"/>
        </w:rPr>
        <w:footnoteRef/>
      </w:r>
      <w:r w:rsidR="007710CD">
        <w:t xml:space="preserve"> i</w:t>
      </w:r>
      <w:r w:rsidR="001A3276">
        <w:t>bid</w:t>
      </w:r>
      <w:r w:rsidR="007710CD">
        <w:t>.</w:t>
      </w:r>
    </w:p>
  </w:footnote>
  <w:footnote w:id="114">
    <w:p w:rsidRPr="009F18DC" w:rsidR="002F3088" w:rsidP="00190BB0" w:rsidRDefault="002F3088" w14:paraId="194AD44F" w14:textId="2CF67013">
      <w:pPr>
        <w:rPr>
          <w:sz w:val="20"/>
          <w:szCs w:val="20"/>
        </w:rPr>
      </w:pPr>
      <w:r w:rsidRPr="000A08B8">
        <w:rPr>
          <w:rStyle w:val="FootnoteReference"/>
          <w:sz w:val="20"/>
          <w:szCs w:val="20"/>
        </w:rPr>
        <w:footnoteRef/>
      </w:r>
      <w:r w:rsidRPr="000A08B8">
        <w:rPr>
          <w:sz w:val="20"/>
          <w:szCs w:val="20"/>
        </w:rPr>
        <w:t xml:space="preserve"> </w:t>
      </w:r>
      <w:r w:rsidR="000A08B8">
        <w:rPr>
          <w:sz w:val="20"/>
          <w:szCs w:val="20"/>
        </w:rPr>
        <w:t xml:space="preserve"> </w:t>
      </w:r>
      <w:r w:rsidRPr="000A08B8" w:rsidR="00AC5B40">
        <w:rPr>
          <w:sz w:val="20"/>
          <w:szCs w:val="20"/>
        </w:rPr>
        <w:t>Mooney-Doyle</w:t>
      </w:r>
      <w:r w:rsidR="001A3276">
        <w:rPr>
          <w:sz w:val="20"/>
          <w:szCs w:val="20"/>
        </w:rPr>
        <w:t xml:space="preserve"> (n</w:t>
      </w:r>
      <w:r w:rsidR="00E06293">
        <w:rPr>
          <w:sz w:val="20"/>
          <w:szCs w:val="20"/>
        </w:rPr>
        <w:t xml:space="preserve">48) </w:t>
      </w:r>
      <w:r w:rsidRPr="009F18DC" w:rsidR="000A08B8">
        <w:rPr>
          <w:sz w:val="20"/>
          <w:szCs w:val="20"/>
        </w:rPr>
        <w:t>826.</w:t>
      </w:r>
    </w:p>
  </w:footnote>
  <w:footnote w:id="115">
    <w:p w:rsidRPr="00B623C8" w:rsidR="000A54EC" w:rsidP="008972C5" w:rsidRDefault="000A54EC" w14:paraId="58C57B09" w14:textId="1DA161F0">
      <w:pPr>
        <w:rPr>
          <w:sz w:val="20"/>
          <w:szCs w:val="20"/>
        </w:rPr>
      </w:pPr>
      <w:r w:rsidRPr="00B623C8">
        <w:rPr>
          <w:rStyle w:val="FootnoteReference"/>
          <w:sz w:val="20"/>
          <w:szCs w:val="20"/>
        </w:rPr>
        <w:footnoteRef/>
      </w:r>
      <w:r w:rsidRPr="00B623C8">
        <w:rPr>
          <w:sz w:val="20"/>
          <w:szCs w:val="20"/>
        </w:rPr>
        <w:t xml:space="preserve"> </w:t>
      </w:r>
      <w:r w:rsidRPr="00B623C8" w:rsidR="008972C5">
        <w:rPr>
          <w:sz w:val="20"/>
          <w:szCs w:val="20"/>
        </w:rPr>
        <w:t>Katz</w:t>
      </w:r>
      <w:r w:rsidR="00E06293">
        <w:rPr>
          <w:sz w:val="20"/>
          <w:szCs w:val="20"/>
        </w:rPr>
        <w:t xml:space="preserve"> (n58) </w:t>
      </w:r>
      <w:r w:rsidRPr="00B623C8" w:rsidR="008972C5">
        <w:rPr>
          <w:sz w:val="20"/>
          <w:szCs w:val="20"/>
        </w:rPr>
        <w:t>1370.</w:t>
      </w:r>
    </w:p>
  </w:footnote>
  <w:footnote w:id="116">
    <w:p w:rsidRPr="00B623C8" w:rsidR="00174EA2" w:rsidP="00174EA2" w:rsidRDefault="00174EA2" w14:paraId="73522E2D" w14:textId="2E960A6C">
      <w:pPr>
        <w:rPr>
          <w:sz w:val="20"/>
          <w:szCs w:val="20"/>
        </w:rPr>
      </w:pPr>
      <w:r w:rsidRPr="00B623C8">
        <w:rPr>
          <w:rStyle w:val="FootnoteReference"/>
          <w:sz w:val="20"/>
          <w:szCs w:val="20"/>
        </w:rPr>
        <w:footnoteRef/>
      </w:r>
      <w:r w:rsidRPr="00B623C8">
        <w:rPr>
          <w:sz w:val="20"/>
          <w:szCs w:val="20"/>
        </w:rPr>
        <w:t xml:space="preserve"> L</w:t>
      </w:r>
      <w:r w:rsidR="00BA5B6D">
        <w:rPr>
          <w:sz w:val="20"/>
          <w:szCs w:val="20"/>
        </w:rPr>
        <w:t xml:space="preserve">ori </w:t>
      </w:r>
      <w:r w:rsidRPr="00B623C8">
        <w:rPr>
          <w:sz w:val="20"/>
          <w:szCs w:val="20"/>
        </w:rPr>
        <w:t>B Bateman et al, ‘A Qualitative Examination of Physician Gender and Parental Status in Pediatric End-of-Life Communication’ (2017) 32(7) Health Communication 903.</w:t>
      </w:r>
    </w:p>
  </w:footnote>
  <w:footnote w:id="117">
    <w:p w:rsidRPr="00B623C8" w:rsidR="00FD56B9" w:rsidP="00FD56B9" w:rsidRDefault="00FD56B9" w14:paraId="54DC9296" w14:textId="77777777">
      <w:pPr>
        <w:pStyle w:val="FootnoteText"/>
      </w:pPr>
      <w:r w:rsidRPr="00B623C8">
        <w:rPr>
          <w:rStyle w:val="FootnoteReference"/>
        </w:rPr>
        <w:footnoteRef/>
      </w:r>
      <w:r w:rsidRPr="00B623C8">
        <w:rPr>
          <w:i/>
          <w:iCs/>
        </w:rPr>
        <w:t>Barts Health NHS Trust v Hollie Dance &amp; Paul Battersbee &amp; Archie Battersbee</w:t>
      </w:r>
      <w:r w:rsidRPr="00B623C8">
        <w:t xml:space="preserve"> [2022] EWHC 1435 (Fam)[100]</w:t>
      </w:r>
    </w:p>
  </w:footnote>
  <w:footnote w:id="118">
    <w:p w:rsidRPr="00B623C8" w:rsidR="008E24AA" w:rsidP="008E24AA" w:rsidRDefault="008E24AA" w14:paraId="397B4597" w14:textId="12DB6014">
      <w:pPr>
        <w:pStyle w:val="FootnoteText"/>
      </w:pPr>
      <w:r w:rsidRPr="00B623C8">
        <w:rPr>
          <w:rStyle w:val="FootnoteReference"/>
        </w:rPr>
        <w:footnoteRef/>
      </w:r>
      <w:r w:rsidRPr="00B623C8">
        <w:rPr>
          <w:i/>
          <w:iCs/>
        </w:rPr>
        <w:t>Barts Health NHS Trust v Dance</w:t>
      </w:r>
      <w:r w:rsidRPr="00B623C8">
        <w:t xml:space="preserve"> [2022] EWHC 1165 (Fam)</w:t>
      </w:r>
      <w:r w:rsidR="007710CD">
        <w:t xml:space="preserve"> </w:t>
      </w:r>
      <w:r w:rsidRPr="00B623C8">
        <w:t>[18].</w:t>
      </w:r>
    </w:p>
  </w:footnote>
  <w:footnote w:id="119">
    <w:p w:rsidR="006A0103" w:rsidRDefault="006A0103" w14:paraId="255CDBC8" w14:textId="37EDE30B">
      <w:pPr>
        <w:pStyle w:val="FootnoteText"/>
      </w:pPr>
      <w:r>
        <w:rPr>
          <w:rStyle w:val="FootnoteReference"/>
        </w:rPr>
        <w:footnoteRef/>
      </w:r>
      <w:r>
        <w:t xml:space="preserve"> </w:t>
      </w:r>
      <w:r w:rsidRPr="000A7BD8">
        <w:t>C</w:t>
      </w:r>
      <w:r w:rsidR="00D3468D">
        <w:t>laire</w:t>
      </w:r>
      <w:r w:rsidRPr="000A7BD8">
        <w:t xml:space="preserve"> Richards et al, ‘Physicians perceptions of shared decision-making in neonatal and pediatric critical care’ (2018) 35(4) American Journal of Hospice and Palliative Medicine 669,</w:t>
      </w:r>
      <w:r w:rsidR="00F40B37">
        <w:t>671.</w:t>
      </w:r>
    </w:p>
  </w:footnote>
  <w:footnote w:id="120">
    <w:p w:rsidRPr="00F40B37" w:rsidR="00C43E1B" w:rsidP="00F40B37" w:rsidRDefault="00C43E1B" w14:paraId="7549E3E5" w14:textId="18BFCC07">
      <w:pPr>
        <w:rPr>
          <w:sz w:val="20"/>
          <w:szCs w:val="20"/>
        </w:rPr>
      </w:pPr>
      <w:r w:rsidRPr="000A7BD8">
        <w:rPr>
          <w:rStyle w:val="FootnoteReference"/>
          <w:sz w:val="20"/>
          <w:szCs w:val="20"/>
        </w:rPr>
        <w:footnoteRef/>
      </w:r>
      <w:r w:rsidRPr="000A7BD8">
        <w:rPr>
          <w:sz w:val="20"/>
          <w:szCs w:val="20"/>
        </w:rPr>
        <w:t xml:space="preserve"> </w:t>
      </w:r>
      <w:r w:rsidRPr="000A7BD8" w:rsidR="00DB0177">
        <w:rPr>
          <w:sz w:val="20"/>
          <w:szCs w:val="20"/>
        </w:rPr>
        <w:t xml:space="preserve"> </w:t>
      </w:r>
      <w:r w:rsidR="00A20E0E">
        <w:rPr>
          <w:sz w:val="20"/>
          <w:szCs w:val="20"/>
        </w:rPr>
        <w:t>ibid</w:t>
      </w:r>
      <w:r w:rsidRPr="000A7BD8" w:rsidR="00DB0177">
        <w:rPr>
          <w:sz w:val="20"/>
          <w:szCs w:val="20"/>
        </w:rPr>
        <w:t xml:space="preserve"> </w:t>
      </w:r>
      <w:r w:rsidRPr="000A7BD8" w:rsidR="000A7BD8">
        <w:rPr>
          <w:sz w:val="20"/>
          <w:szCs w:val="20"/>
        </w:rPr>
        <w:t>670.</w:t>
      </w:r>
    </w:p>
  </w:footnote>
  <w:footnote w:id="121">
    <w:p w:rsidRPr="00B623C8" w:rsidR="00CF23B5" w:rsidRDefault="00CF23B5" w14:paraId="6FBCD30D" w14:textId="27FFD56F">
      <w:pPr>
        <w:pStyle w:val="FootnoteText"/>
      </w:pPr>
      <w:r w:rsidRPr="00B623C8">
        <w:rPr>
          <w:rStyle w:val="FootnoteReference"/>
        </w:rPr>
        <w:footnoteRef/>
      </w:r>
      <w:r w:rsidRPr="00B623C8">
        <w:t xml:space="preserve"> </w:t>
      </w:r>
      <w:r w:rsidRPr="00114271" w:rsidR="00D14F69">
        <w:t>Mooney-Doyle</w:t>
      </w:r>
      <w:r w:rsidR="001C61DE">
        <w:t xml:space="preserve"> (n48) </w:t>
      </w:r>
      <w:r w:rsidRPr="00114271" w:rsidR="00D14F69">
        <w:t>822.</w:t>
      </w:r>
    </w:p>
  </w:footnote>
  <w:footnote w:id="122">
    <w:p w:rsidRPr="005C10EA" w:rsidR="00C77430" w:rsidP="005C10EA" w:rsidRDefault="00C77430" w14:paraId="2FE22ECA" w14:textId="413F8A59">
      <w:pPr>
        <w:rPr>
          <w:sz w:val="20"/>
          <w:szCs w:val="20"/>
        </w:rPr>
      </w:pPr>
      <w:r w:rsidRPr="00B623C8">
        <w:rPr>
          <w:rStyle w:val="FootnoteReference"/>
          <w:sz w:val="20"/>
          <w:szCs w:val="20"/>
        </w:rPr>
        <w:footnoteRef/>
      </w:r>
      <w:r w:rsidRPr="00B623C8">
        <w:rPr>
          <w:sz w:val="20"/>
          <w:szCs w:val="20"/>
        </w:rPr>
        <w:t xml:space="preserve"> </w:t>
      </w:r>
      <w:r w:rsidRPr="005C10EA" w:rsidR="005C10EA">
        <w:rPr>
          <w:sz w:val="20"/>
          <w:szCs w:val="20"/>
        </w:rPr>
        <w:t>Dave Archard, ‘”My Child, my choice”: Parents, doctors and the ethical standards for resolving their disagreement’ (2019) 70(1) NILQ 93,</w:t>
      </w:r>
      <w:r w:rsidRPr="005C10EA" w:rsidR="00AE1833">
        <w:rPr>
          <w:sz w:val="20"/>
          <w:szCs w:val="20"/>
        </w:rPr>
        <w:t>94.</w:t>
      </w:r>
    </w:p>
  </w:footnote>
  <w:footnote w:id="123">
    <w:p w:rsidRPr="00B623C8" w:rsidR="00026079" w:rsidP="00B623C8" w:rsidRDefault="00026079" w14:paraId="6380BC48" w14:textId="54CB7A2A">
      <w:pPr>
        <w:rPr>
          <w:sz w:val="20"/>
          <w:szCs w:val="20"/>
        </w:rPr>
      </w:pPr>
      <w:r w:rsidRPr="00B623C8">
        <w:rPr>
          <w:rStyle w:val="FootnoteReference"/>
          <w:sz w:val="20"/>
          <w:szCs w:val="20"/>
        </w:rPr>
        <w:footnoteRef/>
      </w:r>
      <w:r w:rsidRPr="00B623C8">
        <w:rPr>
          <w:sz w:val="20"/>
          <w:szCs w:val="20"/>
        </w:rPr>
        <w:t xml:space="preserve"> </w:t>
      </w:r>
      <w:r w:rsidRPr="00B623C8" w:rsidR="0098613E">
        <w:rPr>
          <w:sz w:val="20"/>
          <w:szCs w:val="20"/>
        </w:rPr>
        <w:t>Wilkinson</w:t>
      </w:r>
      <w:r w:rsidR="00DD72F8">
        <w:rPr>
          <w:sz w:val="20"/>
          <w:szCs w:val="20"/>
        </w:rPr>
        <w:t xml:space="preserve"> (n8</w:t>
      </w:r>
      <w:r w:rsidR="00565D87">
        <w:rPr>
          <w:sz w:val="20"/>
          <w:szCs w:val="20"/>
        </w:rPr>
        <w:t>5</w:t>
      </w:r>
      <w:r w:rsidR="00DD72F8">
        <w:rPr>
          <w:sz w:val="20"/>
          <w:szCs w:val="20"/>
        </w:rPr>
        <w:t xml:space="preserve">) </w:t>
      </w:r>
      <w:r w:rsidRPr="00B623C8" w:rsidR="00B623C8">
        <w:rPr>
          <w:sz w:val="20"/>
          <w:szCs w:val="20"/>
        </w:rPr>
        <w:t>91.</w:t>
      </w:r>
    </w:p>
  </w:footnote>
  <w:footnote w:id="124">
    <w:p w:rsidRPr="00C62329" w:rsidR="00AF2B8A" w:rsidP="00AF2B8A" w:rsidRDefault="00AF2B8A" w14:paraId="095EAC11" w14:textId="0B610A68">
      <w:pPr>
        <w:pStyle w:val="FootnoteText"/>
      </w:pPr>
      <w:r w:rsidRPr="00C62329">
        <w:rPr>
          <w:rStyle w:val="FootnoteReference"/>
        </w:rPr>
        <w:footnoteRef/>
      </w:r>
      <w:r w:rsidR="00C62329">
        <w:rPr>
          <w:i/>
          <w:iCs/>
        </w:rPr>
        <w:t xml:space="preserve"> </w:t>
      </w:r>
      <w:r w:rsidRPr="00C62329">
        <w:rPr>
          <w:i/>
          <w:iCs/>
        </w:rPr>
        <w:t>Barts Health NHS Trust v Dance</w:t>
      </w:r>
      <w:r w:rsidRPr="00C62329">
        <w:t xml:space="preserve"> [2022] EWHC 1165 (Fam) [70].</w:t>
      </w:r>
    </w:p>
  </w:footnote>
  <w:footnote w:id="125">
    <w:p w:rsidRPr="00C62329" w:rsidR="00045863" w:rsidP="00C62329" w:rsidRDefault="00045863" w14:paraId="758FE0D1" w14:textId="14E31A27">
      <w:pPr>
        <w:rPr>
          <w:sz w:val="20"/>
          <w:szCs w:val="20"/>
        </w:rPr>
      </w:pPr>
      <w:r w:rsidRPr="00C62329">
        <w:rPr>
          <w:rStyle w:val="FootnoteReference"/>
          <w:sz w:val="20"/>
          <w:szCs w:val="20"/>
        </w:rPr>
        <w:footnoteRef/>
      </w:r>
      <w:r w:rsidRPr="00C62329">
        <w:rPr>
          <w:sz w:val="20"/>
          <w:szCs w:val="20"/>
        </w:rPr>
        <w:t xml:space="preserve"> Archard</w:t>
      </w:r>
      <w:r w:rsidR="006609F4">
        <w:rPr>
          <w:sz w:val="20"/>
          <w:szCs w:val="20"/>
        </w:rPr>
        <w:t xml:space="preserve"> (n1</w:t>
      </w:r>
      <w:r w:rsidR="00565D87">
        <w:rPr>
          <w:sz w:val="20"/>
          <w:szCs w:val="20"/>
        </w:rPr>
        <w:t>20</w:t>
      </w:r>
      <w:r w:rsidR="006609F4">
        <w:rPr>
          <w:sz w:val="20"/>
          <w:szCs w:val="20"/>
        </w:rPr>
        <w:t>)</w:t>
      </w:r>
      <w:r w:rsidRPr="00C62329" w:rsidR="008E7C96">
        <w:rPr>
          <w:sz w:val="20"/>
          <w:szCs w:val="20"/>
        </w:rPr>
        <w:t xml:space="preserve"> 105</w:t>
      </w:r>
      <w:r w:rsidRPr="00C62329" w:rsidR="00E5195A">
        <w:rPr>
          <w:sz w:val="20"/>
          <w:szCs w:val="20"/>
        </w:rPr>
        <w:t>;</w:t>
      </w:r>
      <w:r w:rsidRPr="00C62329" w:rsidR="00A7661B">
        <w:rPr>
          <w:sz w:val="20"/>
          <w:szCs w:val="20"/>
        </w:rPr>
        <w:t xml:space="preserve"> Brick</w:t>
      </w:r>
      <w:r w:rsidR="003C151D">
        <w:rPr>
          <w:sz w:val="20"/>
          <w:szCs w:val="20"/>
        </w:rPr>
        <w:t xml:space="preserve"> (n9</w:t>
      </w:r>
      <w:r w:rsidR="001E63A9">
        <w:rPr>
          <w:sz w:val="20"/>
          <w:szCs w:val="20"/>
        </w:rPr>
        <w:t>2</w:t>
      </w:r>
      <w:r w:rsidR="003C151D">
        <w:rPr>
          <w:sz w:val="20"/>
          <w:szCs w:val="20"/>
        </w:rPr>
        <w:t>)</w:t>
      </w:r>
      <w:r w:rsidRPr="00C62329" w:rsidR="00A7661B">
        <w:rPr>
          <w:sz w:val="20"/>
          <w:szCs w:val="20"/>
        </w:rPr>
        <w:t xml:space="preserve"> </w:t>
      </w:r>
      <w:r w:rsidRPr="00C62329" w:rsidR="00C62329">
        <w:rPr>
          <w:sz w:val="20"/>
          <w:szCs w:val="20"/>
        </w:rPr>
        <w:t>8.</w:t>
      </w:r>
    </w:p>
  </w:footnote>
  <w:footnote w:id="126">
    <w:p w:rsidRPr="00C62329" w:rsidR="006D7643" w:rsidP="006D7643" w:rsidRDefault="006D7643" w14:paraId="4D830CFC" w14:textId="77777777">
      <w:pPr>
        <w:rPr>
          <w:sz w:val="20"/>
          <w:szCs w:val="20"/>
        </w:rPr>
      </w:pPr>
      <w:r w:rsidRPr="00C62329">
        <w:rPr>
          <w:rStyle w:val="FootnoteReference"/>
          <w:sz w:val="20"/>
          <w:szCs w:val="20"/>
        </w:rPr>
        <w:footnoteRef/>
      </w:r>
      <w:r w:rsidRPr="00C62329">
        <w:rPr>
          <w:sz w:val="20"/>
          <w:szCs w:val="20"/>
        </w:rPr>
        <w:t xml:space="preserve"> </w:t>
      </w:r>
      <w:r w:rsidRPr="00C62329">
        <w:rPr>
          <w:i/>
          <w:iCs/>
          <w:sz w:val="20"/>
          <w:szCs w:val="20"/>
        </w:rPr>
        <w:t>Manchester University NHS Foundation Trust v William Verden &amp; Amy McLennan</w:t>
      </w:r>
      <w:r w:rsidRPr="00C62329">
        <w:rPr>
          <w:sz w:val="20"/>
          <w:szCs w:val="20"/>
        </w:rPr>
        <w:t xml:space="preserve"> [2022] EWCOP 9, [16].</w:t>
      </w:r>
    </w:p>
  </w:footnote>
  <w:footnote w:id="127">
    <w:p w:rsidRPr="00C62329" w:rsidR="00BC70A5" w:rsidRDefault="00BC70A5" w14:paraId="5E836E6C" w14:textId="4386D336">
      <w:pPr>
        <w:pStyle w:val="FootnoteText"/>
      </w:pPr>
      <w:r w:rsidRPr="00C62329">
        <w:rPr>
          <w:rStyle w:val="FootnoteReference"/>
        </w:rPr>
        <w:footnoteRef/>
      </w:r>
      <w:r w:rsidRPr="00C62329" w:rsidR="00225B57">
        <w:t>Kirsty L</w:t>
      </w:r>
      <w:r w:rsidRPr="00C62329">
        <w:t xml:space="preserve"> </w:t>
      </w:r>
      <w:r w:rsidRPr="00C62329" w:rsidR="00225B57">
        <w:t xml:space="preserve">Moreton, ‘Reflecting on “Hannah’s Choice”: Using the Ethics of Care to justify child participation in end-of-life decision-making’ (2020) 28(1) Medical Law Review 124, </w:t>
      </w:r>
      <w:r w:rsidRPr="00C62329" w:rsidR="00337FB6">
        <w:t>152.</w:t>
      </w:r>
    </w:p>
  </w:footnote>
  <w:footnote w:id="128">
    <w:p w:rsidRPr="00114271" w:rsidR="008768EE" w:rsidP="00114271" w:rsidRDefault="008768EE" w14:paraId="03566B89" w14:textId="2E183E2D">
      <w:pPr>
        <w:rPr>
          <w:sz w:val="20"/>
          <w:szCs w:val="20"/>
        </w:rPr>
      </w:pPr>
      <w:r w:rsidRPr="00C62329">
        <w:rPr>
          <w:rStyle w:val="FootnoteReference"/>
          <w:sz w:val="20"/>
          <w:szCs w:val="20"/>
        </w:rPr>
        <w:footnoteRef/>
      </w:r>
      <w:r w:rsidRPr="00C62329">
        <w:rPr>
          <w:sz w:val="20"/>
          <w:szCs w:val="20"/>
        </w:rPr>
        <w:t xml:space="preserve"> </w:t>
      </w:r>
      <w:r w:rsidRPr="00C62329" w:rsidR="00114271">
        <w:rPr>
          <w:i/>
          <w:iCs/>
          <w:sz w:val="20"/>
          <w:szCs w:val="20"/>
        </w:rPr>
        <w:t xml:space="preserve">R (A Child) </w:t>
      </w:r>
      <w:r w:rsidRPr="00C62329" w:rsidR="00114271">
        <w:rPr>
          <w:sz w:val="20"/>
          <w:szCs w:val="20"/>
        </w:rPr>
        <w:t>[2018] EWFC 28.</w:t>
      </w:r>
    </w:p>
  </w:footnote>
  <w:footnote w:id="129">
    <w:p w:rsidRPr="00114271" w:rsidR="00695505" w:rsidRDefault="00695505" w14:paraId="23DC1C78" w14:textId="49855576">
      <w:pPr>
        <w:pStyle w:val="FootnoteText"/>
      </w:pPr>
      <w:r w:rsidRPr="00114271">
        <w:rPr>
          <w:rStyle w:val="FootnoteReference"/>
        </w:rPr>
        <w:footnoteRef/>
      </w:r>
      <w:r w:rsidRPr="00114271">
        <w:t xml:space="preserve"> Katie Gollop and Sarah Pope, ‘Charlie Gard, Alfie Evans and R (A Child): Why a medical treatment Significant Harm test would hinder not help’ (22 May 2018) The Transparency Project &lt;https:///transparencyproject.org.uk/charlie-gard-alfie-evans-and-r-a-child-why-a-medical-treatment-siginficant-harm-test-would-hinder-not-help&gt; Last accessed 27 March 2023.</w:t>
      </w:r>
    </w:p>
  </w:footnote>
  <w:footnote w:id="130">
    <w:p w:rsidRPr="00114271" w:rsidR="0049293B" w:rsidP="0049293B" w:rsidRDefault="0049293B" w14:paraId="1AEA9D5E" w14:textId="15E81138">
      <w:pPr>
        <w:rPr>
          <w:sz w:val="20"/>
          <w:szCs w:val="20"/>
        </w:rPr>
      </w:pPr>
      <w:r w:rsidRPr="00114271">
        <w:rPr>
          <w:rStyle w:val="FootnoteReference"/>
          <w:sz w:val="20"/>
          <w:szCs w:val="20"/>
        </w:rPr>
        <w:footnoteRef/>
      </w:r>
      <w:r w:rsidRPr="00114271">
        <w:rPr>
          <w:sz w:val="20"/>
          <w:szCs w:val="20"/>
        </w:rPr>
        <w:t xml:space="preserve">  Katz</w:t>
      </w:r>
      <w:r w:rsidR="00212FB4">
        <w:rPr>
          <w:sz w:val="20"/>
          <w:szCs w:val="20"/>
        </w:rPr>
        <w:t xml:space="preserve"> (n</w:t>
      </w:r>
      <w:r w:rsidR="00FE583C">
        <w:rPr>
          <w:sz w:val="20"/>
          <w:szCs w:val="20"/>
        </w:rPr>
        <w:t xml:space="preserve">58) </w:t>
      </w:r>
      <w:r w:rsidRPr="00114271">
        <w:rPr>
          <w:sz w:val="20"/>
          <w:szCs w:val="20"/>
        </w:rPr>
        <w:t>1372.</w:t>
      </w:r>
    </w:p>
  </w:footnote>
  <w:footnote w:id="131">
    <w:p w:rsidRPr="00114271" w:rsidR="00AF2B8A" w:rsidP="00AF2B8A" w:rsidRDefault="00AF2B8A" w14:paraId="71A0E8FD" w14:textId="4110A888">
      <w:pPr>
        <w:rPr>
          <w:sz w:val="20"/>
          <w:szCs w:val="20"/>
        </w:rPr>
      </w:pPr>
      <w:r w:rsidRPr="00114271">
        <w:rPr>
          <w:rStyle w:val="FootnoteReference"/>
          <w:sz w:val="20"/>
          <w:szCs w:val="20"/>
        </w:rPr>
        <w:footnoteRef/>
      </w:r>
      <w:r w:rsidRPr="00114271">
        <w:rPr>
          <w:sz w:val="20"/>
          <w:szCs w:val="20"/>
        </w:rPr>
        <w:t xml:space="preserve"> </w:t>
      </w:r>
      <w:r w:rsidRPr="00114271" w:rsidR="001275F1">
        <w:rPr>
          <w:sz w:val="20"/>
          <w:szCs w:val="20"/>
        </w:rPr>
        <w:t>K</w:t>
      </w:r>
      <w:r w:rsidR="00D523A5">
        <w:rPr>
          <w:sz w:val="20"/>
          <w:szCs w:val="20"/>
        </w:rPr>
        <w:t xml:space="preserve">arla </w:t>
      </w:r>
      <w:r w:rsidRPr="00114271">
        <w:rPr>
          <w:sz w:val="20"/>
          <w:szCs w:val="20"/>
        </w:rPr>
        <w:t>Abela et al, ‘Impact of Pediatric Critical Illness and Injury on Families: An Updated Systematic Review’ (2020) 51 Journal of Pediatric Nursing 21, 28.</w:t>
      </w:r>
    </w:p>
  </w:footnote>
  <w:footnote w:id="132">
    <w:p w:rsidRPr="00114271" w:rsidR="009160B2" w:rsidRDefault="009160B2" w14:paraId="541E02A7" w14:textId="2BE430D2">
      <w:pPr>
        <w:pStyle w:val="FootnoteText"/>
      </w:pPr>
      <w:r w:rsidRPr="00114271">
        <w:rPr>
          <w:rStyle w:val="FootnoteReference"/>
        </w:rPr>
        <w:footnoteRef/>
      </w:r>
      <w:r w:rsidRPr="00114271">
        <w:t xml:space="preserve"> Mooney-Doyle</w:t>
      </w:r>
      <w:r w:rsidR="00FE583C">
        <w:t xml:space="preserve"> (n</w:t>
      </w:r>
      <w:r w:rsidR="00043CC1">
        <w:t xml:space="preserve">48) </w:t>
      </w:r>
      <w:r w:rsidRPr="00114271">
        <w:t xml:space="preserve">822. </w:t>
      </w:r>
    </w:p>
  </w:footnote>
  <w:footnote w:id="133">
    <w:p w:rsidRPr="00045863" w:rsidR="00DA425D" w:rsidP="00045863" w:rsidRDefault="00DA425D" w14:paraId="78B987AB" w14:textId="1504F135">
      <w:pPr>
        <w:rPr>
          <w:sz w:val="20"/>
          <w:szCs w:val="20"/>
        </w:rPr>
      </w:pPr>
      <w:r w:rsidRPr="00114271">
        <w:rPr>
          <w:rStyle w:val="FootnoteReference"/>
          <w:sz w:val="20"/>
          <w:szCs w:val="20"/>
        </w:rPr>
        <w:footnoteRef/>
      </w:r>
      <w:r w:rsidRPr="00114271">
        <w:rPr>
          <w:sz w:val="20"/>
          <w:szCs w:val="20"/>
        </w:rPr>
        <w:t xml:space="preserve"> </w:t>
      </w:r>
      <w:r w:rsidRPr="00114271" w:rsidR="007F6A27">
        <w:rPr>
          <w:sz w:val="20"/>
          <w:szCs w:val="20"/>
        </w:rPr>
        <w:t xml:space="preserve"> Alistair Browne, ‘Physician Authority, Family Choice and the Best Interests of the Child’ (2022) 31(1) Cambridge Quarterly of Healthcare Ethics 34, </w:t>
      </w:r>
      <w:r w:rsidRPr="00114271" w:rsidR="005701A2">
        <w:rPr>
          <w:sz w:val="20"/>
          <w:szCs w:val="20"/>
        </w:rPr>
        <w:t>38.</w:t>
      </w:r>
    </w:p>
  </w:footnote>
  <w:footnote w:id="134">
    <w:p w:rsidRPr="000466E5" w:rsidR="00DC70E6" w:rsidP="00FA6739" w:rsidRDefault="00DC70E6" w14:paraId="23352599" w14:textId="45D8B64B">
      <w:pPr>
        <w:rPr>
          <w:sz w:val="20"/>
          <w:szCs w:val="20"/>
        </w:rPr>
      </w:pPr>
      <w:r w:rsidRPr="000466E5">
        <w:rPr>
          <w:rStyle w:val="FootnoteReference"/>
          <w:sz w:val="20"/>
          <w:szCs w:val="20"/>
        </w:rPr>
        <w:footnoteRef/>
      </w:r>
      <w:r w:rsidRPr="000466E5">
        <w:rPr>
          <w:sz w:val="20"/>
          <w:szCs w:val="20"/>
        </w:rPr>
        <w:t xml:space="preserve"> </w:t>
      </w:r>
      <w:r w:rsidRPr="000466E5" w:rsidR="00FA6739">
        <w:rPr>
          <w:sz w:val="20"/>
          <w:szCs w:val="20"/>
        </w:rPr>
        <w:t>C</w:t>
      </w:r>
      <w:r w:rsidR="00136BAE">
        <w:rPr>
          <w:sz w:val="20"/>
          <w:szCs w:val="20"/>
        </w:rPr>
        <w:t>hiara</w:t>
      </w:r>
      <w:r w:rsidRPr="000466E5" w:rsidR="00FA6739">
        <w:rPr>
          <w:sz w:val="20"/>
          <w:szCs w:val="20"/>
        </w:rPr>
        <w:t xml:space="preserve"> Baiocchi and E</w:t>
      </w:r>
      <w:r w:rsidR="00136BAE">
        <w:rPr>
          <w:sz w:val="20"/>
          <w:szCs w:val="20"/>
        </w:rPr>
        <w:t>dmund</w:t>
      </w:r>
      <w:r w:rsidRPr="000466E5" w:rsidR="00FA6739">
        <w:rPr>
          <w:sz w:val="20"/>
          <w:szCs w:val="20"/>
        </w:rPr>
        <w:t xml:space="preserve"> Horowicz, ‘Children, Futility and Parental Disagreement: The importance of ethical reasoning for clinicians in the pediatric intensive care setting’ (2023) 18(1) Clinical Ethics 26, </w:t>
      </w:r>
      <w:r w:rsidRPr="000466E5" w:rsidR="000466E5">
        <w:rPr>
          <w:sz w:val="20"/>
          <w:szCs w:val="20"/>
        </w:rPr>
        <w:t>28.</w:t>
      </w:r>
    </w:p>
  </w:footnote>
  <w:footnote w:id="135">
    <w:p w:rsidRPr="00106BC6" w:rsidR="00AE3FA0" w:rsidP="00205488" w:rsidRDefault="00AE3FA0" w14:paraId="168DD157" w14:textId="1B727112">
      <w:pPr>
        <w:rPr>
          <w:sz w:val="20"/>
          <w:szCs w:val="20"/>
        </w:rPr>
      </w:pPr>
      <w:r w:rsidRPr="00106BC6">
        <w:rPr>
          <w:rStyle w:val="FootnoteReference"/>
          <w:sz w:val="20"/>
          <w:szCs w:val="20"/>
        </w:rPr>
        <w:footnoteRef/>
      </w:r>
      <w:r w:rsidRPr="00106BC6" w:rsidR="00205488">
        <w:rPr>
          <w:sz w:val="20"/>
          <w:szCs w:val="20"/>
        </w:rPr>
        <w:t xml:space="preserve"> Jo</w:t>
      </w:r>
      <w:r w:rsidRPr="00106BC6">
        <w:rPr>
          <w:sz w:val="20"/>
          <w:szCs w:val="20"/>
        </w:rPr>
        <w:t xml:space="preserve"> </w:t>
      </w:r>
      <w:r w:rsidRPr="00106BC6" w:rsidR="00205488">
        <w:rPr>
          <w:sz w:val="20"/>
          <w:szCs w:val="20"/>
        </w:rPr>
        <w:t>Bridgeman, ‘”Our Legal Responsibility…to intervene on behalf of the child”: Recognising public responsibilities for the medical treatment of children’ (2021) 21(1) Medical Law International 19.</w:t>
      </w:r>
    </w:p>
  </w:footnote>
  <w:footnote w:id="136">
    <w:p w:rsidRPr="009B4921" w:rsidR="000152FD" w:rsidP="000152FD" w:rsidRDefault="000152FD" w14:paraId="0F68D640" w14:textId="62EDE349">
      <w:pPr>
        <w:rPr>
          <w:sz w:val="24"/>
          <w:szCs w:val="24"/>
        </w:rPr>
      </w:pPr>
      <w:r w:rsidRPr="00106BC6">
        <w:rPr>
          <w:rStyle w:val="FootnoteReference"/>
          <w:sz w:val="20"/>
          <w:szCs w:val="20"/>
        </w:rPr>
        <w:footnoteRef/>
      </w:r>
      <w:r w:rsidRPr="00106BC6">
        <w:rPr>
          <w:sz w:val="20"/>
          <w:szCs w:val="20"/>
        </w:rPr>
        <w:t xml:space="preserve">  Pruski </w:t>
      </w:r>
      <w:r w:rsidR="00EE713C">
        <w:rPr>
          <w:sz w:val="20"/>
          <w:szCs w:val="20"/>
        </w:rPr>
        <w:t xml:space="preserve">(n71) </w:t>
      </w:r>
      <w:r w:rsidRPr="00106BC6">
        <w:rPr>
          <w:sz w:val="20"/>
          <w:szCs w:val="20"/>
        </w:rPr>
        <w:t>82.</w:t>
      </w:r>
    </w:p>
  </w:footnote>
  <w:footnote w:id="137">
    <w:p w:rsidR="00AE3FA0" w:rsidRDefault="00AE3FA0" w14:paraId="2A061B81" w14:textId="2D7425D6">
      <w:pPr>
        <w:pStyle w:val="FootnoteText"/>
      </w:pPr>
      <w:r>
        <w:rPr>
          <w:rStyle w:val="FootnoteReference"/>
        </w:rPr>
        <w:footnoteRef/>
      </w:r>
      <w:r>
        <w:t xml:space="preserve"> </w:t>
      </w:r>
      <w:r w:rsidRPr="000A7BD8" w:rsidR="005B5D1D">
        <w:t>Richards</w:t>
      </w:r>
      <w:r w:rsidR="00EE713C">
        <w:t xml:space="preserve"> (n11</w:t>
      </w:r>
      <w:r w:rsidR="008C598A">
        <w:t>8</w:t>
      </w:r>
      <w:r w:rsidR="00EE713C">
        <w:t xml:space="preserve">) </w:t>
      </w:r>
      <w:r w:rsidR="00E11A5F">
        <w:t>670.</w:t>
      </w:r>
    </w:p>
  </w:footnote>
  <w:footnote w:id="138">
    <w:p w:rsidRPr="00274972" w:rsidR="00F2293A" w:rsidP="00F2293A" w:rsidRDefault="00F2293A" w14:paraId="576FC1E3" w14:textId="78461171">
      <w:pPr>
        <w:pStyle w:val="FootnoteText"/>
      </w:pPr>
      <w:r w:rsidRPr="00274972">
        <w:rPr>
          <w:rStyle w:val="FootnoteReference"/>
        </w:rPr>
        <w:footnoteRef/>
      </w:r>
      <w:r w:rsidRPr="00274972">
        <w:rPr>
          <w:rStyle w:val="FootnoteReference"/>
        </w:rPr>
        <w:t xml:space="preserve"> </w:t>
      </w:r>
      <w:r w:rsidRPr="00274972">
        <w:t>Archambault-Grenier</w:t>
      </w:r>
      <w:r w:rsidR="00EE713C">
        <w:t xml:space="preserve"> (n</w:t>
      </w:r>
      <w:r w:rsidR="004C6AE1">
        <w:t>17)</w:t>
      </w:r>
      <w:r w:rsidR="00234480">
        <w:t xml:space="preserve"> 265.</w:t>
      </w:r>
    </w:p>
  </w:footnote>
  <w:footnote w:id="139">
    <w:p w:rsidRPr="0085541E" w:rsidR="00F2293A" w:rsidP="00F2293A" w:rsidRDefault="00F2293A" w14:paraId="756E0AF6" w14:textId="77777777">
      <w:pPr>
        <w:rPr>
          <w:sz w:val="20"/>
          <w:szCs w:val="20"/>
        </w:rPr>
      </w:pPr>
      <w:r w:rsidRPr="0085541E">
        <w:rPr>
          <w:rStyle w:val="FootnoteReference"/>
          <w:sz w:val="20"/>
          <w:szCs w:val="20"/>
        </w:rPr>
        <w:footnoteRef/>
      </w:r>
      <w:r w:rsidRPr="0085541E">
        <w:rPr>
          <w:sz w:val="20"/>
          <w:szCs w:val="20"/>
        </w:rPr>
        <w:t xml:space="preserve"> Shreerupa Basu and Anne Preisz, ‘Family Conflict and Aggression in the Paediatric Intensive Care Unit: Responding to Challenges in Practice’ (2022) (Apr) Clinical Ethics 12, 15.</w:t>
      </w:r>
    </w:p>
  </w:footnote>
  <w:footnote w:id="140">
    <w:p w:rsidR="00F2293A" w:rsidP="00F2293A" w:rsidRDefault="00F2293A" w14:paraId="19A775FB" w14:textId="14F0F516">
      <w:pPr>
        <w:pStyle w:val="FootnoteText"/>
      </w:pPr>
      <w:r>
        <w:rPr>
          <w:rStyle w:val="FootnoteReference"/>
        </w:rPr>
        <w:footnoteRef/>
      </w:r>
      <w:r>
        <w:t xml:space="preserve"> </w:t>
      </w:r>
      <w:r w:rsidR="0090260B">
        <w:t>i</w:t>
      </w:r>
      <w:r w:rsidR="004C6AE1">
        <w:t>bid</w:t>
      </w:r>
      <w:r w:rsidR="0090260B">
        <w:t>.</w:t>
      </w:r>
    </w:p>
  </w:footnote>
  <w:footnote w:id="141">
    <w:p w:rsidR="003D1A37" w:rsidRDefault="003D1A37" w14:paraId="722956FC" w14:textId="056C1841">
      <w:pPr>
        <w:pStyle w:val="FootnoteText"/>
      </w:pPr>
      <w:r>
        <w:rPr>
          <w:rStyle w:val="FootnoteReference"/>
        </w:rPr>
        <w:footnoteRef/>
      </w:r>
      <w:r w:rsidR="00C52ABC">
        <w:t xml:space="preserve"> </w:t>
      </w:r>
      <w:r w:rsidRPr="00274972">
        <w:t xml:space="preserve">Archambault-Grenier </w:t>
      </w:r>
      <w:r w:rsidR="00C52ABC">
        <w:t xml:space="preserve">(n17) </w:t>
      </w:r>
      <w:r w:rsidR="00234480">
        <w:t>265.</w:t>
      </w:r>
    </w:p>
  </w:footnote>
  <w:footnote w:id="142">
    <w:p w:rsidR="00F2293A" w:rsidP="00F2293A" w:rsidRDefault="00F2293A" w14:paraId="4865E657" w14:textId="2C941770">
      <w:pPr>
        <w:pStyle w:val="FootnoteText"/>
      </w:pPr>
      <w:r>
        <w:rPr>
          <w:rStyle w:val="FootnoteReference"/>
        </w:rPr>
        <w:footnoteRef/>
      </w:r>
      <w:r>
        <w:t xml:space="preserve"> </w:t>
      </w:r>
      <w:r w:rsidRPr="0085541E">
        <w:t>Basu</w:t>
      </w:r>
      <w:r w:rsidR="00C52ABC">
        <w:t xml:space="preserve"> (n13</w:t>
      </w:r>
      <w:r w:rsidR="008C598A">
        <w:t>8</w:t>
      </w:r>
      <w:r w:rsidR="00C52ABC">
        <w:t xml:space="preserve">) </w:t>
      </w:r>
      <w:r>
        <w:t>13.</w:t>
      </w:r>
    </w:p>
  </w:footnote>
  <w:footnote w:id="143">
    <w:p w:rsidR="00B70378" w:rsidP="00B70378" w:rsidRDefault="00B70378" w14:paraId="43B2A537" w14:textId="77777777">
      <w:pPr>
        <w:pStyle w:val="FootnoteText"/>
      </w:pPr>
      <w:r>
        <w:rPr>
          <w:rStyle w:val="FootnoteReference"/>
        </w:rPr>
        <w:footnoteRef/>
      </w:r>
      <w:r>
        <w:t xml:space="preserve"> </w:t>
      </w:r>
      <w:r w:rsidRPr="001B3F0A">
        <w:t>Elizabeth Foot et al, ‘”The stakes could not be higher”: A mixed methods study of parental social media use in peditaric oncology’ (2021) 68 Pediatr Blood Cancer e29176,</w:t>
      </w:r>
      <w:r>
        <w:t>1,</w:t>
      </w:r>
      <w:r w:rsidRPr="001B3F0A">
        <w:t xml:space="preserve"> </w:t>
      </w:r>
      <w:r>
        <w:t>5.</w:t>
      </w:r>
    </w:p>
  </w:footnote>
  <w:footnote w:id="144">
    <w:p w:rsidR="00B70378" w:rsidP="00B70378" w:rsidRDefault="00B70378" w14:paraId="37791003" w14:textId="08F7FF11">
      <w:pPr>
        <w:pStyle w:val="FootnoteText"/>
      </w:pPr>
      <w:r>
        <w:rPr>
          <w:rStyle w:val="FootnoteReference"/>
        </w:rPr>
        <w:footnoteRef/>
      </w:r>
      <w:r>
        <w:t xml:space="preserve"> </w:t>
      </w:r>
      <w:r w:rsidR="0090260B">
        <w:t>i</w:t>
      </w:r>
      <w:r w:rsidR="005F3058">
        <w:t>bid</w:t>
      </w:r>
      <w:r w:rsidR="0090260B">
        <w:t>.</w:t>
      </w:r>
    </w:p>
  </w:footnote>
  <w:footnote w:id="145">
    <w:p w:rsidR="00B70378" w:rsidP="00B70378" w:rsidRDefault="00B70378" w14:paraId="3A68258C" w14:textId="77777777">
      <w:pPr>
        <w:pStyle w:val="FootnoteText"/>
      </w:pPr>
      <w:r>
        <w:rPr>
          <w:rStyle w:val="FootnoteReference"/>
        </w:rPr>
        <w:footnoteRef/>
      </w:r>
      <w:r>
        <w:t xml:space="preserve"> </w:t>
      </w:r>
      <w:r w:rsidRPr="001B3F0A">
        <w:t>Colin Wallis, ‘When Paediatricians and families can’t agree’ (2018) 103(5) Arch Dis Child 413.</w:t>
      </w:r>
    </w:p>
  </w:footnote>
  <w:footnote w:id="146">
    <w:p w:rsidRPr="001B3F0A" w:rsidR="005A0C37" w:rsidP="00481AB2" w:rsidRDefault="005A0C37" w14:paraId="306E047B" w14:textId="2C2798E3">
      <w:pPr>
        <w:rPr>
          <w:sz w:val="20"/>
          <w:szCs w:val="20"/>
        </w:rPr>
      </w:pPr>
      <w:r w:rsidRPr="001B3F0A">
        <w:rPr>
          <w:rStyle w:val="FootnoteReference"/>
          <w:sz w:val="20"/>
          <w:szCs w:val="20"/>
        </w:rPr>
        <w:footnoteRef/>
      </w:r>
      <w:r w:rsidRPr="001B3F0A">
        <w:rPr>
          <w:sz w:val="20"/>
          <w:szCs w:val="20"/>
        </w:rPr>
        <w:t xml:space="preserve"> </w:t>
      </w:r>
      <w:r w:rsidRPr="001B3F0A" w:rsidR="00481AB2">
        <w:rPr>
          <w:sz w:val="20"/>
          <w:szCs w:val="20"/>
        </w:rPr>
        <w:t xml:space="preserve"> Mooney-Doyle </w:t>
      </w:r>
      <w:r w:rsidR="00377374">
        <w:rPr>
          <w:sz w:val="20"/>
          <w:szCs w:val="20"/>
        </w:rPr>
        <w:t xml:space="preserve">(n48) </w:t>
      </w:r>
      <w:r w:rsidRPr="001B3F0A" w:rsidR="00481AB2">
        <w:rPr>
          <w:sz w:val="20"/>
          <w:szCs w:val="20"/>
        </w:rPr>
        <w:t xml:space="preserve">827. </w:t>
      </w:r>
    </w:p>
  </w:footnote>
  <w:footnote w:id="147">
    <w:p w:rsidRPr="001B3F0A" w:rsidR="00D55E1B" w:rsidP="00D55E1B" w:rsidRDefault="00D55E1B" w14:paraId="699608D0" w14:textId="5CF66110">
      <w:pPr>
        <w:rPr>
          <w:sz w:val="20"/>
          <w:szCs w:val="20"/>
        </w:rPr>
      </w:pPr>
      <w:r w:rsidRPr="001B3F0A">
        <w:rPr>
          <w:rStyle w:val="FootnoteReference"/>
          <w:sz w:val="20"/>
          <w:szCs w:val="20"/>
        </w:rPr>
        <w:footnoteRef/>
      </w:r>
      <w:r w:rsidRPr="001B3F0A">
        <w:rPr>
          <w:sz w:val="20"/>
          <w:szCs w:val="20"/>
        </w:rPr>
        <w:t xml:space="preserve">  Auckland </w:t>
      </w:r>
      <w:r w:rsidR="007F3CB7">
        <w:rPr>
          <w:sz w:val="20"/>
          <w:szCs w:val="20"/>
        </w:rPr>
        <w:t xml:space="preserve">(n81) </w:t>
      </w:r>
      <w:r w:rsidRPr="001B3F0A">
        <w:rPr>
          <w:sz w:val="20"/>
          <w:szCs w:val="20"/>
        </w:rPr>
        <w:t>302.</w:t>
      </w:r>
    </w:p>
  </w:footnote>
  <w:footnote w:id="148">
    <w:p w:rsidRPr="001B3F0A" w:rsidR="00694EA1" w:rsidP="00B35426" w:rsidRDefault="00694EA1" w14:paraId="12885D71" w14:textId="34313C2D">
      <w:pPr>
        <w:rPr>
          <w:sz w:val="20"/>
          <w:szCs w:val="20"/>
        </w:rPr>
      </w:pPr>
      <w:r w:rsidRPr="001B3F0A">
        <w:rPr>
          <w:rStyle w:val="FootnoteReference"/>
          <w:sz w:val="20"/>
          <w:szCs w:val="20"/>
        </w:rPr>
        <w:footnoteRef/>
      </w:r>
      <w:r w:rsidR="007F3CB7">
        <w:rPr>
          <w:sz w:val="20"/>
          <w:szCs w:val="20"/>
        </w:rPr>
        <w:t xml:space="preserve"> </w:t>
      </w:r>
      <w:r w:rsidR="0090260B">
        <w:rPr>
          <w:sz w:val="20"/>
          <w:szCs w:val="20"/>
        </w:rPr>
        <w:t>i</w:t>
      </w:r>
      <w:r w:rsidR="007F3CB7">
        <w:rPr>
          <w:sz w:val="20"/>
          <w:szCs w:val="20"/>
        </w:rPr>
        <w:t>bid</w:t>
      </w:r>
      <w:r w:rsidR="0090260B">
        <w:rPr>
          <w:sz w:val="20"/>
          <w:szCs w:val="20"/>
        </w:rPr>
        <w:t>.</w:t>
      </w:r>
    </w:p>
  </w:footnote>
  <w:footnote w:id="149">
    <w:p w:rsidRPr="0072147F" w:rsidR="00BB1D8F" w:rsidP="00BB1D8F" w:rsidRDefault="00BB1D8F" w14:paraId="74CDC9D7" w14:textId="77777777">
      <w:pPr>
        <w:rPr>
          <w:sz w:val="20"/>
          <w:szCs w:val="20"/>
        </w:rPr>
      </w:pPr>
      <w:r w:rsidRPr="001B3F0A">
        <w:rPr>
          <w:rStyle w:val="FootnoteReference"/>
          <w:sz w:val="20"/>
          <w:szCs w:val="20"/>
        </w:rPr>
        <w:footnoteRef/>
      </w:r>
      <w:r w:rsidRPr="001B3F0A">
        <w:rPr>
          <w:sz w:val="20"/>
          <w:szCs w:val="20"/>
        </w:rPr>
        <w:t xml:space="preserve"> Ranjana Das, ‘Populist discourse on a British social media patient-support community: The case of the Charlie Gard support campaign on Facebook’ (2018) 24 Discourse, Context and Media 76, 80.</w:t>
      </w:r>
    </w:p>
  </w:footnote>
  <w:footnote w:id="150">
    <w:p w:rsidRPr="001B3F0A" w:rsidR="009A02D7" w:rsidP="009C5365" w:rsidRDefault="009A02D7" w14:paraId="0D71FFAE" w14:textId="2D3E1B60">
      <w:pPr>
        <w:rPr>
          <w:sz w:val="20"/>
          <w:szCs w:val="20"/>
        </w:rPr>
      </w:pPr>
      <w:r w:rsidRPr="001B3F0A">
        <w:rPr>
          <w:rStyle w:val="FootnoteReference"/>
          <w:sz w:val="20"/>
          <w:szCs w:val="20"/>
        </w:rPr>
        <w:footnoteRef/>
      </w:r>
      <w:r w:rsidRPr="001B3F0A">
        <w:rPr>
          <w:sz w:val="20"/>
          <w:szCs w:val="20"/>
        </w:rPr>
        <w:t xml:space="preserve"> </w:t>
      </w:r>
      <w:r w:rsidRPr="001B3F0A" w:rsidR="009C5365">
        <w:rPr>
          <w:sz w:val="20"/>
          <w:szCs w:val="20"/>
        </w:rPr>
        <w:t>Auckland</w:t>
      </w:r>
      <w:r w:rsidR="00F603F4">
        <w:rPr>
          <w:sz w:val="20"/>
          <w:szCs w:val="20"/>
        </w:rPr>
        <w:t xml:space="preserve"> (n8</w:t>
      </w:r>
      <w:r w:rsidR="00941F73">
        <w:rPr>
          <w:sz w:val="20"/>
          <w:szCs w:val="20"/>
        </w:rPr>
        <w:t>8</w:t>
      </w:r>
      <w:r w:rsidR="00F603F4">
        <w:rPr>
          <w:sz w:val="20"/>
          <w:szCs w:val="20"/>
        </w:rPr>
        <w:t>)</w:t>
      </w:r>
      <w:r w:rsidRPr="001B3F0A" w:rsidR="009C5365">
        <w:rPr>
          <w:sz w:val="20"/>
          <w:szCs w:val="20"/>
        </w:rPr>
        <w:t xml:space="preserve"> </w:t>
      </w:r>
      <w:r w:rsidRPr="001B3F0A" w:rsidR="00930D59">
        <w:rPr>
          <w:sz w:val="20"/>
          <w:szCs w:val="20"/>
        </w:rPr>
        <w:t>661.</w:t>
      </w:r>
      <w:r w:rsidRPr="001B3F0A" w:rsidR="009C5365">
        <w:rPr>
          <w:sz w:val="20"/>
          <w:szCs w:val="20"/>
        </w:rPr>
        <w:t xml:space="preserve"> </w:t>
      </w:r>
    </w:p>
  </w:footnote>
  <w:footnote w:id="151">
    <w:p w:rsidR="0050572C" w:rsidRDefault="0050572C" w14:paraId="4163F277" w14:textId="54DF4781">
      <w:pPr>
        <w:pStyle w:val="FootnoteText"/>
      </w:pPr>
      <w:r>
        <w:rPr>
          <w:rStyle w:val="FootnoteReference"/>
        </w:rPr>
        <w:footnoteRef/>
      </w:r>
      <w:r>
        <w:t xml:space="preserve"> </w:t>
      </w:r>
      <w:r w:rsidRPr="001B3F0A">
        <w:t>Wallis</w:t>
      </w:r>
      <w:r w:rsidR="00F603F4">
        <w:t xml:space="preserve"> (n14</w:t>
      </w:r>
      <w:r w:rsidR="008C598A">
        <w:t>4</w:t>
      </w:r>
      <w:r w:rsidR="00F603F4">
        <w:t xml:space="preserve">) </w:t>
      </w:r>
      <w:r w:rsidRPr="001B3F0A">
        <w:t>413.</w:t>
      </w:r>
    </w:p>
  </w:footnote>
  <w:footnote w:id="152">
    <w:p w:rsidR="00870691" w:rsidP="00870691" w:rsidRDefault="00870691" w14:paraId="0EA46FE4" w14:textId="736BCD35">
      <w:pPr>
        <w:pStyle w:val="FootnoteText"/>
      </w:pPr>
      <w:r>
        <w:rPr>
          <w:rStyle w:val="FootnoteReference"/>
        </w:rPr>
        <w:footnoteRef/>
      </w:r>
      <w:r>
        <w:t xml:space="preserve"> </w:t>
      </w:r>
      <w:r w:rsidRPr="00355554" w:rsidR="00E87607">
        <w:rPr>
          <w:i/>
          <w:iCs/>
        </w:rPr>
        <w:t>Barts Health NHS Trust v Dance</w:t>
      </w:r>
      <w:r w:rsidRPr="00355554" w:rsidR="00E87607">
        <w:t xml:space="preserve"> [2022] EWHC 1165 (Fa</w:t>
      </w:r>
      <w:r w:rsidR="00E87607">
        <w:t>m) [8</w:t>
      </w:r>
      <w:r w:rsidR="00415B79">
        <w:t>2</w:t>
      </w:r>
      <w:r w:rsidR="00E87607">
        <w:t>].</w:t>
      </w:r>
    </w:p>
  </w:footnote>
  <w:footnote w:id="153">
    <w:p w:rsidRPr="0072147F" w:rsidR="007314B3" w:rsidP="00611246" w:rsidRDefault="007314B3" w14:paraId="4F83E403" w14:textId="7737B4AA">
      <w:pPr>
        <w:pStyle w:val="FootnoteText"/>
      </w:pPr>
      <w:r w:rsidRPr="001B3F0A">
        <w:rPr>
          <w:rStyle w:val="FootnoteReference"/>
        </w:rPr>
        <w:footnoteRef/>
      </w:r>
      <w:r w:rsidRPr="001B3F0A">
        <w:t xml:space="preserve"> </w:t>
      </w:r>
      <w:r w:rsidRPr="00355554" w:rsidR="00611246">
        <w:rPr>
          <w:i/>
          <w:iCs/>
        </w:rPr>
        <w:t>Barts Health NHS Trust v Dance</w:t>
      </w:r>
      <w:r w:rsidRPr="00355554" w:rsidR="00611246">
        <w:t xml:space="preserve"> [2022] EWHC 1165 (Fa</w:t>
      </w:r>
      <w:r w:rsidR="00611246">
        <w:t>m) [8</w:t>
      </w:r>
      <w:r w:rsidR="001C321B">
        <w:t>3</w:t>
      </w:r>
      <w:r w:rsidR="00611246">
        <w:t>]</w:t>
      </w:r>
      <w:r w:rsidR="00AD2B71">
        <w:t xml:space="preserve"> –[85].</w:t>
      </w:r>
    </w:p>
  </w:footnote>
  <w:footnote w:id="154">
    <w:p w:rsidR="000A6804" w:rsidP="000A6804" w:rsidRDefault="000A6804" w14:paraId="3AE5D4EE" w14:textId="1AEAD9D6">
      <w:pPr>
        <w:pStyle w:val="FootnoteText"/>
      </w:pPr>
      <w:r>
        <w:rPr>
          <w:rStyle w:val="FootnoteReference"/>
        </w:rPr>
        <w:footnoteRef/>
      </w:r>
      <w:r>
        <w:t xml:space="preserve"> </w:t>
      </w:r>
      <w:r w:rsidRPr="00355554">
        <w:rPr>
          <w:i/>
          <w:iCs/>
        </w:rPr>
        <w:t>Barts Health NHS Trust v Hollie Dance &amp; Paul Battersbee &amp; Archie Battersbee</w:t>
      </w:r>
      <w:r w:rsidRPr="00355554">
        <w:t xml:space="preserve"> [2022] EWHC 1435 (Fam</w:t>
      </w:r>
      <w:r>
        <w:t>)</w:t>
      </w:r>
      <w:r w:rsidR="003F43B9">
        <w:t xml:space="preserve"> [47]</w:t>
      </w:r>
      <w:r w:rsidR="00DD3B7C">
        <w:t xml:space="preserve"> –[48].</w:t>
      </w:r>
    </w:p>
  </w:footnote>
  <w:footnote w:id="155">
    <w:p w:rsidR="00FC66B5" w:rsidP="00FC66B5" w:rsidRDefault="00FC66B5" w14:paraId="257C30AE" w14:textId="38443002">
      <w:pPr>
        <w:pStyle w:val="FootnoteText"/>
      </w:pPr>
      <w:r>
        <w:rPr>
          <w:rStyle w:val="FootnoteReference"/>
        </w:rPr>
        <w:footnoteRef/>
      </w:r>
      <w:r>
        <w:t xml:space="preserve"> </w:t>
      </w:r>
      <w:r w:rsidRPr="001B3F0A">
        <w:t>Foot</w:t>
      </w:r>
      <w:r w:rsidR="00F603F4">
        <w:t xml:space="preserve"> (n14</w:t>
      </w:r>
      <w:r w:rsidR="008C598A">
        <w:t>2</w:t>
      </w:r>
      <w:r w:rsidR="00F603F4">
        <w:t>)</w:t>
      </w:r>
      <w:r w:rsidRPr="001B3F0A">
        <w:t xml:space="preserve"> </w:t>
      </w:r>
      <w:r>
        <w:t>2.</w:t>
      </w:r>
    </w:p>
  </w:footnote>
  <w:footnote w:id="156">
    <w:p w:rsidRPr="00EA10D4" w:rsidR="000611B8" w:rsidP="000611B8" w:rsidRDefault="000611B8" w14:paraId="5CC6AC87" w14:textId="77777777">
      <w:pPr>
        <w:pStyle w:val="FootnoteText"/>
      </w:pPr>
      <w:r w:rsidRPr="00EA10D4">
        <w:rPr>
          <w:rStyle w:val="FootnoteReference"/>
        </w:rPr>
        <w:footnoteRef/>
      </w:r>
      <w:r w:rsidRPr="00EA10D4">
        <w:t xml:space="preserve"> Emma Nottingham, ‘Experience as a legal blogger at Tafida Raqeeb case’ (23 December 2019) The Transparency Project &lt;</w:t>
      </w:r>
      <w:hyperlink w:history="1" r:id="rId4">
        <w:r w:rsidRPr="00EA10D4">
          <w:rPr>
            <w:rStyle w:val="Hyperlink"/>
            <w:color w:val="auto"/>
          </w:rPr>
          <w:t>https://transparencyproject.org.uk/experience-as-a-legal-blogger-at-the-tafida-raqeeb-case</w:t>
        </w:r>
      </w:hyperlink>
      <w:r w:rsidRPr="00EA10D4">
        <w:t>&gt; Last accessed 2 April 2023.</w:t>
      </w:r>
    </w:p>
  </w:footnote>
  <w:footnote w:id="157">
    <w:p w:rsidRPr="00EA10D4" w:rsidR="00917854" w:rsidRDefault="00917854" w14:paraId="4271270D" w14:textId="33FD9316">
      <w:pPr>
        <w:pStyle w:val="FootnoteText"/>
      </w:pPr>
      <w:r w:rsidRPr="00EA10D4">
        <w:rPr>
          <w:rStyle w:val="FootnoteReference"/>
        </w:rPr>
        <w:footnoteRef/>
      </w:r>
      <w:r w:rsidRPr="00EA10D4">
        <w:t xml:space="preserve"> </w:t>
      </w:r>
      <w:r w:rsidRPr="00EA10D4" w:rsidR="0093530C">
        <w:t>Foot</w:t>
      </w:r>
      <w:r w:rsidRPr="00EA10D4" w:rsidR="00D57227">
        <w:t xml:space="preserve"> (n14</w:t>
      </w:r>
      <w:r w:rsidRPr="00EA10D4" w:rsidR="008C598A">
        <w:t>2</w:t>
      </w:r>
      <w:r w:rsidRPr="00EA10D4" w:rsidR="00D57227">
        <w:t xml:space="preserve">) </w:t>
      </w:r>
      <w:r w:rsidRPr="00EA10D4" w:rsidR="0093530C">
        <w:t>9.</w:t>
      </w:r>
    </w:p>
  </w:footnote>
  <w:footnote w:id="158">
    <w:p w:rsidRPr="00EA10D4" w:rsidR="007921DE" w:rsidP="007921DE" w:rsidRDefault="007921DE" w14:paraId="3DEED835" w14:textId="2438E6AC">
      <w:pPr>
        <w:pStyle w:val="FootnoteText"/>
      </w:pPr>
      <w:r w:rsidRPr="00EA10D4">
        <w:rPr>
          <w:rStyle w:val="FootnoteReference"/>
        </w:rPr>
        <w:footnoteRef/>
      </w:r>
      <w:r w:rsidRPr="00EA10D4">
        <w:t xml:space="preserve"> </w:t>
      </w:r>
      <w:r w:rsidRPr="00EA10D4" w:rsidR="00D57227">
        <w:t>ibid</w:t>
      </w:r>
    </w:p>
  </w:footnote>
  <w:footnote w:id="159">
    <w:p w:rsidRPr="00EA10D4" w:rsidR="00FF5ECE" w:rsidRDefault="00FF5ECE" w14:paraId="442AA3E2" w14:textId="4C643ACF">
      <w:pPr>
        <w:pStyle w:val="FootnoteText"/>
      </w:pPr>
      <w:r w:rsidRPr="00EA10D4">
        <w:rPr>
          <w:rStyle w:val="FootnoteReference"/>
        </w:rPr>
        <w:footnoteRef/>
      </w:r>
      <w:r w:rsidRPr="00EA10D4">
        <w:t xml:space="preserve"> </w:t>
      </w:r>
      <w:r w:rsidRPr="00EA10D4" w:rsidR="00D57227">
        <w:t xml:space="preserve">ibid </w:t>
      </w:r>
      <w:r w:rsidRPr="00EA10D4" w:rsidR="00773A6F">
        <w:t>2.</w:t>
      </w:r>
    </w:p>
  </w:footnote>
  <w:footnote w:id="160">
    <w:p w:rsidRPr="00EA10D4" w:rsidR="006D3C10" w:rsidRDefault="006D3C10" w14:paraId="3C6F7855" w14:textId="67DF26C3">
      <w:pPr>
        <w:pStyle w:val="FootnoteText"/>
      </w:pPr>
      <w:r w:rsidRPr="00EA10D4">
        <w:rPr>
          <w:rStyle w:val="FootnoteReference"/>
        </w:rPr>
        <w:footnoteRef/>
      </w:r>
      <w:r w:rsidRPr="00EA10D4">
        <w:t xml:space="preserve"> </w:t>
      </w:r>
      <w:r w:rsidRPr="00EA10D4" w:rsidR="00D57227">
        <w:t xml:space="preserve">Ibid </w:t>
      </w:r>
      <w:r w:rsidRPr="00EA10D4" w:rsidR="00BA7A66">
        <w:t>6.</w:t>
      </w:r>
    </w:p>
  </w:footnote>
  <w:footnote w:id="161">
    <w:p w:rsidRPr="00EA10D4" w:rsidR="00763FBA" w:rsidP="004A6DAB" w:rsidRDefault="00763FBA" w14:paraId="4E4BC6A4" w14:textId="10095ED2">
      <w:pPr>
        <w:rPr>
          <w:sz w:val="20"/>
          <w:szCs w:val="20"/>
        </w:rPr>
      </w:pPr>
      <w:r w:rsidRPr="00EA10D4">
        <w:rPr>
          <w:rStyle w:val="FootnoteReference"/>
          <w:sz w:val="20"/>
          <w:szCs w:val="20"/>
        </w:rPr>
        <w:footnoteRef/>
      </w:r>
      <w:r w:rsidRPr="00EA10D4">
        <w:rPr>
          <w:sz w:val="20"/>
          <w:szCs w:val="20"/>
        </w:rPr>
        <w:t xml:space="preserve"> </w:t>
      </w:r>
      <w:r w:rsidRPr="00EA10D4" w:rsidR="00503083">
        <w:rPr>
          <w:sz w:val="20"/>
          <w:szCs w:val="20"/>
        </w:rPr>
        <w:t>David Benbow, ‘</w:t>
      </w:r>
      <w:r w:rsidRPr="00EA10D4" w:rsidR="00503083">
        <w:rPr>
          <w:i/>
          <w:iCs/>
          <w:sz w:val="20"/>
          <w:szCs w:val="20"/>
        </w:rPr>
        <w:t>Tafida Raqeeb</w:t>
      </w:r>
      <w:r w:rsidRPr="00EA10D4" w:rsidR="00503083">
        <w:rPr>
          <w:sz w:val="20"/>
          <w:szCs w:val="20"/>
        </w:rPr>
        <w:t xml:space="preserve"> v </w:t>
      </w:r>
      <w:r w:rsidRPr="00EA10D4" w:rsidR="00503083">
        <w:rPr>
          <w:i/>
          <w:iCs/>
          <w:sz w:val="20"/>
          <w:szCs w:val="20"/>
        </w:rPr>
        <w:t>Barts NHS Foundation Trust and Others</w:t>
      </w:r>
      <w:r w:rsidRPr="00EA10D4" w:rsidR="00503083">
        <w:rPr>
          <w:sz w:val="20"/>
          <w:szCs w:val="20"/>
        </w:rPr>
        <w:t xml:space="preserve"> [2019]: Bolstering the Argument for Mediation’ (2019) 19(4) Medical Law international 298</w:t>
      </w:r>
      <w:r w:rsidRPr="00EA10D4" w:rsidR="001A7866">
        <w:rPr>
          <w:sz w:val="20"/>
          <w:szCs w:val="20"/>
        </w:rPr>
        <w:t>, 301.</w:t>
      </w:r>
    </w:p>
  </w:footnote>
  <w:footnote w:id="162">
    <w:p w:rsidRPr="00EA10D4" w:rsidR="004A6DAB" w:rsidRDefault="004A6DAB" w14:paraId="539954CC" w14:textId="5417C1C8">
      <w:pPr>
        <w:pStyle w:val="FootnoteText"/>
      </w:pPr>
      <w:r w:rsidRPr="00EA10D4">
        <w:rPr>
          <w:rStyle w:val="FootnoteReference"/>
        </w:rPr>
        <w:footnoteRef/>
      </w:r>
      <w:r w:rsidRPr="00EA10D4">
        <w:t xml:space="preserve"> Jordan King, ‘Mum</w:t>
      </w:r>
      <w:r w:rsidRPr="00EA10D4" w:rsidR="007B0050">
        <w:t xml:space="preserve"> </w:t>
      </w:r>
      <w:r w:rsidRPr="00EA10D4">
        <w:t>of boy, 12, in a coma “praying for a miracle”</w:t>
      </w:r>
      <w:r w:rsidRPr="00EA10D4" w:rsidR="007B0050">
        <w:t xml:space="preserve"> with life support decision looming’ (14 May 2022) Metro News&lt;</w:t>
      </w:r>
      <w:r w:rsidRPr="00EA10D4" w:rsidR="00304864">
        <w:t>https://metro.co.uk/2022/05/14/archie-battersbee</w:t>
      </w:r>
      <w:r w:rsidRPr="00EA10D4" w:rsidR="004A5F14">
        <w:t>-mum-is-praying</w:t>
      </w:r>
      <w:r w:rsidRPr="00EA10D4" w:rsidR="006E00FA">
        <w:t>-for-miracle</w:t>
      </w:r>
      <w:r w:rsidRPr="00EA10D4" w:rsidR="00D6562A">
        <w:t>-over-sons-life-support-16643810/amp&gt; Last accessed 2 April 2023.</w:t>
      </w:r>
    </w:p>
  </w:footnote>
  <w:footnote w:id="163">
    <w:p w:rsidRPr="00EA10D4" w:rsidR="00883AD6" w:rsidP="00883AD6" w:rsidRDefault="00883AD6" w14:paraId="7056424E" w14:textId="77777777">
      <w:pPr>
        <w:pStyle w:val="FootnoteText"/>
      </w:pPr>
      <w:r w:rsidRPr="00EA10D4">
        <w:rPr>
          <w:rStyle w:val="FootnoteReference"/>
        </w:rPr>
        <w:footnoteRef/>
      </w:r>
      <w:r w:rsidRPr="00EA10D4">
        <w:t xml:space="preserve"> </w:t>
      </w:r>
      <w:r w:rsidRPr="00EA10D4">
        <w:rPr>
          <w:i/>
          <w:iCs/>
        </w:rPr>
        <w:t>Manchester University NHS Foundation Trust</w:t>
      </w:r>
      <w:r w:rsidRPr="00EA10D4">
        <w:t xml:space="preserve"> v </w:t>
      </w:r>
      <w:r w:rsidRPr="00EA10D4">
        <w:rPr>
          <w:i/>
          <w:iCs/>
        </w:rPr>
        <w:t xml:space="preserve">Alta Fixsler, Chaya Fixsler &amp; Abraham Fixsler </w:t>
      </w:r>
      <w:r w:rsidRPr="00EA10D4">
        <w:t>[2021] EWHA 2664 (Fam) [34]</w:t>
      </w:r>
    </w:p>
  </w:footnote>
  <w:footnote w:id="164">
    <w:p w:rsidRPr="00EA10D4" w:rsidR="00FA6372" w:rsidRDefault="00FA6372" w14:paraId="2CA1FEA1" w14:textId="7C6AD849">
      <w:pPr>
        <w:pStyle w:val="FootnoteText"/>
      </w:pPr>
      <w:r w:rsidRPr="00EA10D4">
        <w:rPr>
          <w:rStyle w:val="FootnoteReference"/>
        </w:rPr>
        <w:footnoteRef/>
      </w:r>
      <w:r w:rsidRPr="00EA10D4">
        <w:t xml:space="preserve"> </w:t>
      </w:r>
      <w:r w:rsidRPr="00EA10D4">
        <w:rPr>
          <w:i/>
          <w:iCs/>
        </w:rPr>
        <w:t>Manchester University NHS Foundation Trust</w:t>
      </w:r>
      <w:r w:rsidRPr="00EA10D4">
        <w:t xml:space="preserve"> v </w:t>
      </w:r>
      <w:r w:rsidRPr="00EA10D4">
        <w:rPr>
          <w:i/>
          <w:iCs/>
        </w:rPr>
        <w:t xml:space="preserve">Alta Fixsler, Chaya Fixsler &amp; Abraham Fixsler </w:t>
      </w:r>
      <w:r w:rsidRPr="00EA10D4">
        <w:t>[2021] EWHA 2664</w:t>
      </w:r>
      <w:r w:rsidRPr="00EA10D4" w:rsidR="00655008">
        <w:t xml:space="preserve"> (</w:t>
      </w:r>
      <w:r w:rsidRPr="00EA10D4">
        <w:t>Fam) [3</w:t>
      </w:r>
      <w:r w:rsidRPr="00EA10D4" w:rsidR="00655008">
        <w:t>5</w:t>
      </w:r>
      <w:r w:rsidRPr="00EA10D4">
        <w:t>]</w:t>
      </w:r>
    </w:p>
  </w:footnote>
  <w:footnote w:id="165">
    <w:p w:rsidRPr="00530D56" w:rsidR="00530D56" w:rsidRDefault="00530D56" w14:paraId="54489EA5" w14:textId="0927C490">
      <w:pPr>
        <w:pStyle w:val="FootnoteText"/>
      </w:pPr>
      <w:r w:rsidRPr="00EA10D4">
        <w:rPr>
          <w:rStyle w:val="FootnoteReference"/>
        </w:rPr>
        <w:footnoteRef/>
      </w:r>
      <w:r w:rsidRPr="00EA10D4" w:rsidR="00C067BB">
        <w:t xml:space="preserve"> </w:t>
      </w:r>
      <w:r w:rsidRPr="00EA10D4">
        <w:t>Wallis</w:t>
      </w:r>
      <w:r w:rsidRPr="00EA10D4" w:rsidR="00FF586D">
        <w:t xml:space="preserve"> (n</w:t>
      </w:r>
      <w:r w:rsidRPr="00EA10D4" w:rsidR="00C067BB">
        <w:t>14</w:t>
      </w:r>
      <w:r w:rsidRPr="00EA10D4" w:rsidR="008C598A">
        <w:t>4</w:t>
      </w:r>
      <w:r w:rsidRPr="00EA10D4" w:rsidR="00C067BB">
        <w:t>)</w:t>
      </w:r>
      <w:r w:rsidRPr="00EA10D4" w:rsidR="00941F73">
        <w:t xml:space="preserve"> </w:t>
      </w:r>
      <w:r w:rsidRPr="00EA10D4">
        <w:t>413.</w:t>
      </w:r>
    </w:p>
  </w:footnote>
  <w:footnote w:id="166">
    <w:p w:rsidRPr="00C2577E" w:rsidR="006D5625" w:rsidP="006D5625" w:rsidRDefault="006D5625" w14:paraId="7090949C" w14:textId="5B5EEC77">
      <w:pPr>
        <w:rPr>
          <w:sz w:val="20"/>
          <w:szCs w:val="20"/>
        </w:rPr>
      </w:pPr>
      <w:r w:rsidRPr="00C2577E">
        <w:rPr>
          <w:rStyle w:val="FootnoteReference"/>
          <w:sz w:val="20"/>
          <w:szCs w:val="20"/>
        </w:rPr>
        <w:footnoteRef/>
      </w:r>
      <w:r w:rsidRPr="00C2577E">
        <w:rPr>
          <w:sz w:val="20"/>
          <w:szCs w:val="20"/>
        </w:rPr>
        <w:t xml:space="preserve"> Lynne Pearce, ‘Social Media: When mob mentality takes over and nurses turn on nurses’ (2019) 34(10) Nursing Standard 42</w:t>
      </w:r>
      <w:r w:rsidR="00A02A41">
        <w:rPr>
          <w:sz w:val="20"/>
          <w:szCs w:val="20"/>
        </w:rPr>
        <w:t>, 43.</w:t>
      </w:r>
    </w:p>
  </w:footnote>
  <w:footnote w:id="167">
    <w:p w:rsidRPr="00530D56" w:rsidR="00B65208" w:rsidP="008B2C44" w:rsidRDefault="00B65208" w14:paraId="228EB2BE" w14:textId="29B4456F">
      <w:pPr>
        <w:rPr>
          <w:sz w:val="20"/>
          <w:szCs w:val="20"/>
        </w:rPr>
      </w:pPr>
      <w:r w:rsidRPr="00530D56">
        <w:rPr>
          <w:rStyle w:val="FootnoteReference"/>
          <w:sz w:val="20"/>
          <w:szCs w:val="20"/>
        </w:rPr>
        <w:footnoteRef/>
      </w:r>
      <w:r w:rsidR="00530D56">
        <w:rPr>
          <w:i/>
          <w:iCs/>
          <w:sz w:val="20"/>
          <w:szCs w:val="20"/>
        </w:rPr>
        <w:t xml:space="preserve"> </w:t>
      </w:r>
      <w:r w:rsidRPr="00530D56" w:rsidR="008B2C44">
        <w:rPr>
          <w:i/>
          <w:iCs/>
          <w:sz w:val="20"/>
          <w:szCs w:val="20"/>
        </w:rPr>
        <w:t>Manchester University NHS Foundation Trust</w:t>
      </w:r>
      <w:r w:rsidRPr="00530D56" w:rsidR="008B2C44">
        <w:rPr>
          <w:sz w:val="20"/>
          <w:szCs w:val="20"/>
        </w:rPr>
        <w:t xml:space="preserve"> v </w:t>
      </w:r>
      <w:r w:rsidRPr="00530D56" w:rsidR="008B2C44">
        <w:rPr>
          <w:i/>
          <w:iCs/>
          <w:sz w:val="20"/>
          <w:szCs w:val="20"/>
        </w:rPr>
        <w:t xml:space="preserve">Alta Fixsler, Chaya Fixsler &amp; Abraham Fixsler </w:t>
      </w:r>
      <w:r w:rsidRPr="00530D56" w:rsidR="008B2C44">
        <w:rPr>
          <w:sz w:val="20"/>
          <w:szCs w:val="20"/>
        </w:rPr>
        <w:t>[2021] EWHA 2664 (Fam)</w:t>
      </w:r>
      <w:r w:rsidRPr="00530D56">
        <w:rPr>
          <w:sz w:val="20"/>
          <w:szCs w:val="20"/>
        </w:rPr>
        <w:t xml:space="preserve"> </w:t>
      </w:r>
      <w:r w:rsidRPr="00530D56" w:rsidR="00484965">
        <w:rPr>
          <w:sz w:val="20"/>
          <w:szCs w:val="20"/>
        </w:rPr>
        <w:t>[33]</w:t>
      </w:r>
      <w:r w:rsidR="00225ED7">
        <w:rPr>
          <w:sz w:val="20"/>
          <w:szCs w:val="20"/>
        </w:rPr>
        <w:t>.</w:t>
      </w:r>
    </w:p>
  </w:footnote>
  <w:footnote w:id="168">
    <w:p w:rsidRPr="002678F1" w:rsidR="00E227A5" w:rsidRDefault="00E227A5" w14:paraId="4621BCC9" w14:textId="33FE5449">
      <w:pPr>
        <w:pStyle w:val="FootnoteText"/>
      </w:pPr>
      <w:r w:rsidRPr="002678F1">
        <w:rPr>
          <w:rStyle w:val="FootnoteReference"/>
        </w:rPr>
        <w:footnoteRef/>
      </w:r>
      <w:r w:rsidRPr="002678F1">
        <w:t xml:space="preserve"> Fraz Mir, ‘Reflecting on conflict between healthcare professionals and families of critically ill children’ (2022) 379 BMJ(Online) 2735.</w:t>
      </w:r>
    </w:p>
  </w:footnote>
  <w:footnote w:id="169">
    <w:p w:rsidRPr="00EF225E" w:rsidR="003904AB" w:rsidP="00EF225E" w:rsidRDefault="003904AB" w14:paraId="4ECFAAF4" w14:textId="03D8709F">
      <w:pPr>
        <w:rPr>
          <w:rFonts w:cstheme="minorHAnsi"/>
          <w:sz w:val="20"/>
          <w:szCs w:val="20"/>
        </w:rPr>
      </w:pPr>
      <w:r w:rsidRPr="00AA495B">
        <w:rPr>
          <w:rStyle w:val="FootnoteReference"/>
          <w:sz w:val="20"/>
          <w:szCs w:val="20"/>
        </w:rPr>
        <w:footnoteRef/>
      </w:r>
      <w:r w:rsidRPr="00AA495B" w:rsidR="00AA495B">
        <w:rPr>
          <w:sz w:val="20"/>
          <w:szCs w:val="20"/>
        </w:rPr>
        <w:t xml:space="preserve"> Sarah</w:t>
      </w:r>
      <w:r w:rsidRPr="00AA495B">
        <w:rPr>
          <w:sz w:val="20"/>
          <w:szCs w:val="20"/>
        </w:rPr>
        <w:t xml:space="preserve"> </w:t>
      </w:r>
      <w:r w:rsidRPr="00AA495B" w:rsidR="00AA495B">
        <w:rPr>
          <w:sz w:val="20"/>
          <w:szCs w:val="20"/>
        </w:rPr>
        <w:t xml:space="preserve">Woolley, ‘Religious fundamentalist lawyers “preyed on” Archie Battersbee’s family’ (8 August 2022) OpenDemocracy &lt; </w:t>
      </w:r>
      <w:hyperlink w:history="1" r:id="rId5">
        <w:r w:rsidRPr="00AA495B" w:rsidR="00AA495B">
          <w:rPr>
            <w:rStyle w:val="Hyperlink"/>
            <w:color w:val="auto"/>
            <w:sz w:val="20"/>
            <w:szCs w:val="20"/>
          </w:rPr>
          <w:t>https://www.opendemocracy.net/en/archie-battersbee-christian-legal-centre-preying-whitewash/</w:t>
        </w:r>
      </w:hyperlink>
      <w:r w:rsidRPr="00AA495B" w:rsidR="00AA495B">
        <w:rPr>
          <w:sz w:val="20"/>
          <w:szCs w:val="20"/>
        </w:rPr>
        <w:t>&gt; Last accessed 23 April 2023</w:t>
      </w:r>
      <w:r w:rsidR="00225ED7">
        <w:rPr>
          <w:sz w:val="20"/>
          <w:szCs w:val="20"/>
        </w:rPr>
        <w:t>.</w:t>
      </w:r>
    </w:p>
  </w:footnote>
  <w:footnote w:id="170">
    <w:p w:rsidRPr="002678F1" w:rsidR="000D3462" w:rsidP="003B07DB" w:rsidRDefault="000D3462" w14:paraId="31B99212" w14:textId="0539B710">
      <w:pPr>
        <w:rPr>
          <w:sz w:val="20"/>
          <w:szCs w:val="20"/>
        </w:rPr>
      </w:pPr>
      <w:r w:rsidRPr="002678F1">
        <w:rPr>
          <w:rStyle w:val="FootnoteReference"/>
          <w:sz w:val="20"/>
          <w:szCs w:val="20"/>
        </w:rPr>
        <w:footnoteRef/>
      </w:r>
      <w:r w:rsidRPr="002678F1" w:rsidR="003B07DB">
        <w:rPr>
          <w:sz w:val="20"/>
          <w:szCs w:val="20"/>
        </w:rPr>
        <w:t xml:space="preserve"> Mir</w:t>
      </w:r>
      <w:r w:rsidR="00A72AB7">
        <w:rPr>
          <w:sz w:val="20"/>
          <w:szCs w:val="20"/>
        </w:rPr>
        <w:t xml:space="preserve"> (n16</w:t>
      </w:r>
      <w:r w:rsidR="009521D4">
        <w:rPr>
          <w:sz w:val="20"/>
          <w:szCs w:val="20"/>
        </w:rPr>
        <w:t>7</w:t>
      </w:r>
      <w:r w:rsidR="00A72AB7">
        <w:rPr>
          <w:sz w:val="20"/>
          <w:szCs w:val="20"/>
        </w:rPr>
        <w:t>)</w:t>
      </w:r>
      <w:r w:rsidR="00AF6DDB">
        <w:rPr>
          <w:sz w:val="20"/>
          <w:szCs w:val="20"/>
        </w:rPr>
        <w:t xml:space="preserve"> </w:t>
      </w:r>
      <w:r w:rsidRPr="002678F1" w:rsidR="003B07DB">
        <w:rPr>
          <w:sz w:val="20"/>
          <w:szCs w:val="20"/>
        </w:rPr>
        <w:t>2735.</w:t>
      </w:r>
    </w:p>
  </w:footnote>
  <w:footnote w:id="171">
    <w:p w:rsidRPr="002678F1" w:rsidR="00680788" w:rsidRDefault="00680788" w14:paraId="40891A52" w14:textId="69AC4F2C">
      <w:pPr>
        <w:pStyle w:val="FootnoteText"/>
      </w:pPr>
      <w:r w:rsidRPr="002678F1">
        <w:rPr>
          <w:rStyle w:val="FootnoteReference"/>
        </w:rPr>
        <w:footnoteRef/>
      </w:r>
      <w:r w:rsidRPr="002678F1">
        <w:t xml:space="preserve"> </w:t>
      </w:r>
      <w:r w:rsidRPr="002678F1" w:rsidR="0022564F">
        <w:t>Bhatia</w:t>
      </w:r>
      <w:r w:rsidR="00A72AB7">
        <w:t xml:space="preserve"> (n11)</w:t>
      </w:r>
      <w:r w:rsidR="004F019F">
        <w:t xml:space="preserve"> </w:t>
      </w:r>
      <w:r w:rsidRPr="002678F1">
        <w:t>18.</w:t>
      </w:r>
    </w:p>
  </w:footnote>
  <w:footnote w:id="172">
    <w:p w:rsidR="00716DE2" w:rsidRDefault="00716DE2" w14:paraId="6F039730" w14:textId="2A1AC574">
      <w:pPr>
        <w:pStyle w:val="FootnoteText"/>
      </w:pPr>
      <w:r>
        <w:rPr>
          <w:rStyle w:val="FootnoteReference"/>
        </w:rPr>
        <w:footnoteRef/>
      </w:r>
      <w:r>
        <w:t xml:space="preserve"> Sara</w:t>
      </w:r>
      <w:r w:rsidR="005607CA">
        <w:t xml:space="preserve"> Fovargue, ‘Preserving the therapeutic alliance: Court intervention and experimental treatment requests’ </w:t>
      </w:r>
      <w:r w:rsidRPr="00B623C8" w:rsidR="00FD7950">
        <w:t xml:space="preserve">in Imogen Goold, Jonathan Herring and Cressida Auckland (eds) </w:t>
      </w:r>
      <w:r w:rsidRPr="00B623C8" w:rsidR="00FD7950">
        <w:rPr>
          <w:i/>
          <w:iCs/>
        </w:rPr>
        <w:t xml:space="preserve">Parental Rights, Best Interests and Significant Harms </w:t>
      </w:r>
      <w:r w:rsidRPr="00B623C8" w:rsidR="00FD7950">
        <w:t xml:space="preserve">(Hart 2019) </w:t>
      </w:r>
      <w:r w:rsidR="00FD7950">
        <w:t>153, 167</w:t>
      </w:r>
      <w:r w:rsidR="00FD0929">
        <w:t>.</w:t>
      </w:r>
    </w:p>
  </w:footnote>
  <w:footnote w:id="173">
    <w:p w:rsidRPr="002678F1" w:rsidR="0021032C" w:rsidP="00E3103A" w:rsidRDefault="0021032C" w14:paraId="646ED4E4" w14:textId="52EF30DA">
      <w:pPr>
        <w:rPr>
          <w:sz w:val="20"/>
          <w:szCs w:val="20"/>
        </w:rPr>
      </w:pPr>
      <w:r w:rsidRPr="002678F1">
        <w:rPr>
          <w:rStyle w:val="FootnoteReference"/>
          <w:sz w:val="20"/>
          <w:szCs w:val="20"/>
        </w:rPr>
        <w:footnoteRef/>
      </w:r>
      <w:r w:rsidRPr="002678F1">
        <w:rPr>
          <w:sz w:val="20"/>
          <w:szCs w:val="20"/>
        </w:rPr>
        <w:t xml:space="preserve"> </w:t>
      </w:r>
      <w:r w:rsidRPr="002678F1" w:rsidR="00DD3391">
        <w:rPr>
          <w:sz w:val="20"/>
          <w:szCs w:val="20"/>
        </w:rPr>
        <w:t xml:space="preserve">Cressida Auckland and Imogen Goold, ‘Re-evaluating “Best Interests” in the wake of </w:t>
      </w:r>
      <w:r w:rsidRPr="002678F1" w:rsidR="00DD3391">
        <w:rPr>
          <w:i/>
          <w:iCs/>
          <w:sz w:val="20"/>
          <w:szCs w:val="20"/>
        </w:rPr>
        <w:t>Raqeeb</w:t>
      </w:r>
      <w:r w:rsidRPr="002678F1" w:rsidR="00DD3391">
        <w:rPr>
          <w:sz w:val="20"/>
          <w:szCs w:val="20"/>
        </w:rPr>
        <w:t xml:space="preserve"> v</w:t>
      </w:r>
      <w:r w:rsidRPr="002678F1" w:rsidR="00DD3391">
        <w:rPr>
          <w:i/>
          <w:iCs/>
          <w:sz w:val="20"/>
          <w:szCs w:val="20"/>
        </w:rPr>
        <w:t xml:space="preserve"> Barts NHS Foundation Trust and Anor’</w:t>
      </w:r>
      <w:r w:rsidRPr="002678F1" w:rsidR="00DD3391">
        <w:rPr>
          <w:sz w:val="20"/>
          <w:szCs w:val="20"/>
        </w:rPr>
        <w:t xml:space="preserve"> (2020) 83(6) Modern Law Review 1328.</w:t>
      </w:r>
    </w:p>
  </w:footnote>
  <w:footnote w:id="174">
    <w:p w:rsidRPr="002678F1" w:rsidR="001876FE" w:rsidRDefault="001876FE" w14:paraId="5D1314DE" w14:textId="4FD44FE2">
      <w:pPr>
        <w:pStyle w:val="FootnoteText"/>
      </w:pPr>
      <w:r w:rsidRPr="002678F1">
        <w:rPr>
          <w:rStyle w:val="FootnoteReference"/>
        </w:rPr>
        <w:footnoteRef/>
      </w:r>
      <w:r w:rsidRPr="002678F1">
        <w:t xml:space="preserve"> </w:t>
      </w:r>
      <w:r w:rsidRPr="002678F1" w:rsidR="00E3103A">
        <w:t>Benbow</w:t>
      </w:r>
      <w:r w:rsidR="004F019F">
        <w:t xml:space="preserve"> (n</w:t>
      </w:r>
      <w:r w:rsidR="00357EF9">
        <w:t>1</w:t>
      </w:r>
      <w:r w:rsidR="009521D4">
        <w:t>60</w:t>
      </w:r>
      <w:r w:rsidR="00357EF9">
        <w:t>)</w:t>
      </w:r>
      <w:r w:rsidRPr="002678F1" w:rsidR="00153125">
        <w:t xml:space="preserve"> </w:t>
      </w:r>
      <w:r w:rsidRPr="002678F1" w:rsidR="002678F1">
        <w:t>301.</w:t>
      </w:r>
    </w:p>
  </w:footnote>
  <w:footnote w:id="175">
    <w:p w:rsidRPr="008A76EC" w:rsidR="00F3033F" w:rsidP="008A76EC" w:rsidRDefault="00F3033F" w14:paraId="3237821D" w14:textId="65362E90">
      <w:pPr>
        <w:rPr>
          <w:sz w:val="24"/>
          <w:szCs w:val="24"/>
          <w:u w:val="single"/>
        </w:rPr>
      </w:pPr>
      <w:r w:rsidRPr="002678F1">
        <w:rPr>
          <w:rStyle w:val="FootnoteReference"/>
          <w:sz w:val="20"/>
          <w:szCs w:val="20"/>
        </w:rPr>
        <w:footnoteRef/>
      </w:r>
      <w:r w:rsidRPr="002678F1">
        <w:rPr>
          <w:sz w:val="20"/>
          <w:szCs w:val="20"/>
        </w:rPr>
        <w:t xml:space="preserve"> </w:t>
      </w:r>
      <w:r w:rsidRPr="002678F1" w:rsidR="008A76EC">
        <w:rPr>
          <w:i/>
          <w:iCs/>
          <w:sz w:val="20"/>
          <w:szCs w:val="20"/>
        </w:rPr>
        <w:t>Manchester University NHS Foundation Trust</w:t>
      </w:r>
      <w:r w:rsidRPr="002678F1" w:rsidR="008A76EC">
        <w:rPr>
          <w:sz w:val="20"/>
          <w:szCs w:val="20"/>
        </w:rPr>
        <w:t xml:space="preserve"> v </w:t>
      </w:r>
      <w:r w:rsidRPr="002678F1" w:rsidR="008A76EC">
        <w:rPr>
          <w:i/>
          <w:iCs/>
          <w:sz w:val="20"/>
          <w:szCs w:val="20"/>
        </w:rPr>
        <w:t>Fixsler</w:t>
      </w:r>
      <w:r w:rsidRPr="002678F1" w:rsidR="008A76EC">
        <w:rPr>
          <w:sz w:val="20"/>
          <w:szCs w:val="20"/>
        </w:rPr>
        <w:t xml:space="preserve"> [2021] EWHC 1426 </w:t>
      </w:r>
      <w:r w:rsidRPr="002678F1">
        <w:rPr>
          <w:sz w:val="20"/>
          <w:szCs w:val="20"/>
        </w:rPr>
        <w:t>[39]</w:t>
      </w:r>
      <w:r w:rsidR="004362BB">
        <w:rPr>
          <w:sz w:val="20"/>
          <w:szCs w:val="20"/>
        </w:rPr>
        <w:t>.</w:t>
      </w:r>
    </w:p>
  </w:footnote>
  <w:footnote w:id="176">
    <w:p w:rsidR="00EF638C" w:rsidP="00EF638C" w:rsidRDefault="00EF638C" w14:paraId="62D31565" w14:textId="77777777">
      <w:pPr>
        <w:pStyle w:val="FootnoteText"/>
      </w:pPr>
      <w:r>
        <w:rPr>
          <w:rStyle w:val="FootnoteReference"/>
        </w:rPr>
        <w:footnoteRef/>
      </w:r>
      <w:r>
        <w:t xml:space="preserve"> </w:t>
      </w:r>
      <w:r w:rsidRPr="001A43A0">
        <w:t xml:space="preserve">Karen Macintosh and Paul McConnell, ‘Parent and medical team disagreements in the UK: universal lessons in the origins and resolution of conflict’ (2022) 2(47) J Anesth Analg Crit Care 1, </w:t>
      </w:r>
      <w:r>
        <w:t>5.</w:t>
      </w:r>
    </w:p>
  </w:footnote>
  <w:footnote w:id="177">
    <w:p w:rsidRPr="00A37B58" w:rsidR="00EF638C" w:rsidP="00EF638C" w:rsidRDefault="00EF638C" w14:paraId="56E8B8A7" w14:textId="2264E8AD">
      <w:pPr>
        <w:pStyle w:val="FootnoteText"/>
        <w:rPr>
          <w:b/>
          <w:bCs/>
        </w:rPr>
      </w:pPr>
      <w:r>
        <w:rPr>
          <w:rStyle w:val="FootnoteReference"/>
        </w:rPr>
        <w:footnoteRef/>
      </w:r>
      <w:r>
        <w:t xml:space="preserve"> </w:t>
      </w:r>
      <w:r w:rsidRPr="001A43A0">
        <w:t>Moore</w:t>
      </w:r>
      <w:r w:rsidR="00357EF9">
        <w:t xml:space="preserve"> (n</w:t>
      </w:r>
      <w:r w:rsidR="00B86E4D">
        <w:t>63)</w:t>
      </w:r>
      <w:r w:rsidR="00357EF9">
        <w:t xml:space="preserve"> </w:t>
      </w:r>
      <w:r w:rsidRPr="001A43A0">
        <w:t>60.</w:t>
      </w:r>
    </w:p>
  </w:footnote>
  <w:footnote w:id="178">
    <w:p w:rsidRPr="00024F68" w:rsidR="00EF638C" w:rsidP="00EF638C" w:rsidRDefault="00EF638C" w14:paraId="3900CD43" w14:textId="756F61D2">
      <w:pPr>
        <w:rPr>
          <w:sz w:val="20"/>
          <w:szCs w:val="20"/>
        </w:rPr>
      </w:pPr>
      <w:r w:rsidRPr="00610ECF">
        <w:rPr>
          <w:rStyle w:val="FootnoteReference"/>
          <w:sz w:val="20"/>
          <w:szCs w:val="20"/>
        </w:rPr>
        <w:footnoteRef/>
      </w:r>
      <w:r w:rsidRPr="00610ECF">
        <w:rPr>
          <w:sz w:val="20"/>
          <w:szCs w:val="20"/>
        </w:rPr>
        <w:t xml:space="preserve"> Forbat </w:t>
      </w:r>
      <w:r w:rsidR="00E07EBE">
        <w:rPr>
          <w:sz w:val="20"/>
          <w:szCs w:val="20"/>
        </w:rPr>
        <w:t>(n43)</w:t>
      </w:r>
      <w:r w:rsidR="00E45EAE">
        <w:rPr>
          <w:sz w:val="20"/>
          <w:szCs w:val="20"/>
        </w:rPr>
        <w:t xml:space="preserve"> </w:t>
      </w:r>
      <w:r w:rsidRPr="00610ECF">
        <w:rPr>
          <w:sz w:val="20"/>
          <w:szCs w:val="20"/>
        </w:rPr>
        <w:t>328;</w:t>
      </w:r>
      <w:r w:rsidR="00E07EBE">
        <w:rPr>
          <w:sz w:val="20"/>
          <w:szCs w:val="20"/>
        </w:rPr>
        <w:t xml:space="preserve"> </w:t>
      </w:r>
      <w:r w:rsidRPr="00610ECF">
        <w:rPr>
          <w:sz w:val="20"/>
          <w:szCs w:val="20"/>
        </w:rPr>
        <w:t>Katz</w:t>
      </w:r>
      <w:r w:rsidR="00E07EBE">
        <w:rPr>
          <w:sz w:val="20"/>
          <w:szCs w:val="20"/>
        </w:rPr>
        <w:t xml:space="preserve"> (</w:t>
      </w:r>
      <w:r w:rsidR="009B373A">
        <w:rPr>
          <w:sz w:val="20"/>
          <w:szCs w:val="20"/>
        </w:rPr>
        <w:t xml:space="preserve">n58) </w:t>
      </w:r>
      <w:r w:rsidRPr="00610ECF">
        <w:rPr>
          <w:sz w:val="20"/>
          <w:szCs w:val="20"/>
        </w:rPr>
        <w:t>1370.</w:t>
      </w:r>
    </w:p>
  </w:footnote>
  <w:footnote w:id="179">
    <w:p w:rsidR="00EF638C" w:rsidP="00EF638C" w:rsidRDefault="00EF638C" w14:paraId="6ECF6113" w14:textId="77777777">
      <w:pPr>
        <w:pStyle w:val="FootnoteText"/>
      </w:pPr>
      <w:r>
        <w:rPr>
          <w:rStyle w:val="FootnoteReference"/>
        </w:rPr>
        <w:footnoteRef/>
      </w:r>
      <w:r>
        <w:t xml:space="preserve"> Jo Bridgeman, ‘</w:t>
      </w:r>
      <w:r w:rsidRPr="008C3149">
        <w:rPr>
          <w:i/>
          <w:iCs/>
        </w:rPr>
        <w:t>Gard &amp; Yates v GOSH</w:t>
      </w:r>
      <w:r>
        <w:t>, the Guardian and the United Kingdom: Reflections on the Legal Process and the Legal Principles (2017) 17 Medical Law International 285, 292.</w:t>
      </w:r>
    </w:p>
  </w:footnote>
  <w:footnote w:id="180">
    <w:p w:rsidRPr="002A2345" w:rsidR="00EF638C" w:rsidP="00EF638C" w:rsidRDefault="00EF638C" w14:paraId="24CBF8A9" w14:textId="1B143AD7">
      <w:pPr>
        <w:rPr>
          <w:sz w:val="20"/>
          <w:szCs w:val="20"/>
          <w:lang w:val="de-DE"/>
        </w:rPr>
      </w:pPr>
      <w:r w:rsidRPr="00857AA2">
        <w:rPr>
          <w:rStyle w:val="FootnoteReference"/>
          <w:sz w:val="20"/>
          <w:szCs w:val="20"/>
        </w:rPr>
        <w:footnoteRef/>
      </w:r>
      <w:r w:rsidRPr="002A2345">
        <w:rPr>
          <w:sz w:val="20"/>
          <w:szCs w:val="20"/>
          <w:lang w:val="de-DE"/>
        </w:rPr>
        <w:t xml:space="preserve"> Auckland </w:t>
      </w:r>
      <w:r w:rsidRPr="002A2345" w:rsidR="009B373A">
        <w:rPr>
          <w:sz w:val="20"/>
          <w:szCs w:val="20"/>
          <w:lang w:val="de-DE"/>
        </w:rPr>
        <w:t>(n</w:t>
      </w:r>
      <w:r w:rsidRPr="002A2345" w:rsidR="00403FF7">
        <w:rPr>
          <w:sz w:val="20"/>
          <w:szCs w:val="20"/>
          <w:lang w:val="de-DE"/>
        </w:rPr>
        <w:t>8</w:t>
      </w:r>
      <w:r w:rsidRPr="002A2345" w:rsidR="00941F73">
        <w:rPr>
          <w:sz w:val="20"/>
          <w:szCs w:val="20"/>
          <w:lang w:val="de-DE"/>
        </w:rPr>
        <w:t>8</w:t>
      </w:r>
      <w:r w:rsidRPr="002A2345" w:rsidR="00403FF7">
        <w:rPr>
          <w:sz w:val="20"/>
          <w:szCs w:val="20"/>
          <w:lang w:val="de-DE"/>
        </w:rPr>
        <w:t xml:space="preserve">) </w:t>
      </w:r>
      <w:r w:rsidRPr="002A2345">
        <w:rPr>
          <w:sz w:val="20"/>
          <w:szCs w:val="20"/>
          <w:lang w:val="de-DE"/>
        </w:rPr>
        <w:t>649.</w:t>
      </w:r>
    </w:p>
  </w:footnote>
  <w:footnote w:id="181">
    <w:p w:rsidRPr="002A2345" w:rsidR="00EF638C" w:rsidP="00EF638C" w:rsidRDefault="00EF638C" w14:paraId="400F2E75" w14:textId="2076C75C">
      <w:pPr>
        <w:rPr>
          <w:sz w:val="20"/>
          <w:szCs w:val="20"/>
          <w:lang w:val="de-DE"/>
        </w:rPr>
      </w:pPr>
      <w:r w:rsidRPr="00024F68">
        <w:rPr>
          <w:rStyle w:val="FootnoteReference"/>
          <w:sz w:val="20"/>
          <w:szCs w:val="20"/>
        </w:rPr>
        <w:footnoteRef/>
      </w:r>
      <w:r w:rsidRPr="002A2345">
        <w:rPr>
          <w:sz w:val="20"/>
          <w:szCs w:val="20"/>
          <w:lang w:val="de-DE"/>
        </w:rPr>
        <w:t xml:space="preserve"> Sokel</w:t>
      </w:r>
      <w:r w:rsidRPr="002A2345" w:rsidR="00B05476">
        <w:rPr>
          <w:sz w:val="20"/>
          <w:szCs w:val="20"/>
          <w:lang w:val="de-DE"/>
        </w:rPr>
        <w:t xml:space="preserve"> </w:t>
      </w:r>
      <w:r w:rsidRPr="002A2345" w:rsidR="00403FF7">
        <w:rPr>
          <w:sz w:val="20"/>
          <w:szCs w:val="20"/>
          <w:lang w:val="de-DE"/>
        </w:rPr>
        <w:t>(n</w:t>
      </w:r>
      <w:r w:rsidRPr="002A2345" w:rsidR="00B05476">
        <w:rPr>
          <w:sz w:val="20"/>
          <w:szCs w:val="20"/>
          <w:lang w:val="de-DE"/>
        </w:rPr>
        <w:t>10</w:t>
      </w:r>
      <w:r w:rsidRPr="002A2345" w:rsidR="00941F73">
        <w:rPr>
          <w:sz w:val="20"/>
          <w:szCs w:val="20"/>
          <w:lang w:val="de-DE"/>
        </w:rPr>
        <w:t>3</w:t>
      </w:r>
      <w:r w:rsidRPr="002A2345" w:rsidR="00B05476">
        <w:rPr>
          <w:sz w:val="20"/>
          <w:szCs w:val="20"/>
          <w:lang w:val="de-DE"/>
        </w:rPr>
        <w:t xml:space="preserve">) </w:t>
      </w:r>
      <w:r w:rsidRPr="002A2345">
        <w:rPr>
          <w:sz w:val="20"/>
          <w:szCs w:val="20"/>
          <w:lang w:val="de-DE"/>
        </w:rPr>
        <w:t>o1980.</w:t>
      </w:r>
    </w:p>
  </w:footnote>
  <w:footnote w:id="182">
    <w:p w:rsidRPr="002A2345" w:rsidR="00EF638C" w:rsidP="00EF638C" w:rsidRDefault="00EF638C" w14:paraId="217607C9" w14:textId="6EBF95A4">
      <w:pPr>
        <w:pStyle w:val="FootnoteText"/>
        <w:rPr>
          <w:lang w:val="de-DE"/>
        </w:rPr>
      </w:pPr>
      <w:r>
        <w:rPr>
          <w:rStyle w:val="FootnoteReference"/>
        </w:rPr>
        <w:footnoteRef/>
      </w:r>
      <w:r w:rsidRPr="002A2345">
        <w:rPr>
          <w:lang w:val="de-DE"/>
        </w:rPr>
        <w:t xml:space="preserve"> Moore</w:t>
      </w:r>
      <w:r w:rsidRPr="002A2345" w:rsidR="00B05476">
        <w:rPr>
          <w:lang w:val="de-DE"/>
        </w:rPr>
        <w:t xml:space="preserve"> (</w:t>
      </w:r>
      <w:r w:rsidRPr="002A2345" w:rsidR="000F5603">
        <w:rPr>
          <w:lang w:val="de-DE"/>
        </w:rPr>
        <w:t>n</w:t>
      </w:r>
      <w:r w:rsidRPr="002A2345" w:rsidR="00B05476">
        <w:rPr>
          <w:lang w:val="de-DE"/>
        </w:rPr>
        <w:t>63)</w:t>
      </w:r>
      <w:r w:rsidRPr="002A2345">
        <w:rPr>
          <w:lang w:val="de-DE"/>
        </w:rPr>
        <w:t xml:space="preserve"> 64.</w:t>
      </w:r>
    </w:p>
  </w:footnote>
  <w:footnote w:id="183">
    <w:p w:rsidRPr="002A2345" w:rsidR="004A2ABA" w:rsidP="004A2ABA" w:rsidRDefault="004A2ABA" w14:paraId="4FB21EE9" w14:textId="005A78B3">
      <w:pPr>
        <w:rPr>
          <w:sz w:val="20"/>
          <w:szCs w:val="20"/>
          <w:lang w:val="de-DE"/>
        </w:rPr>
      </w:pPr>
      <w:r w:rsidRPr="00460364">
        <w:rPr>
          <w:rStyle w:val="FootnoteReference"/>
          <w:sz w:val="20"/>
          <w:szCs w:val="20"/>
        </w:rPr>
        <w:footnoteRef/>
      </w:r>
      <w:r w:rsidRPr="002A2345">
        <w:rPr>
          <w:sz w:val="20"/>
          <w:szCs w:val="20"/>
          <w:lang w:val="de-DE"/>
        </w:rPr>
        <w:t xml:space="preserve"> Auckland</w:t>
      </w:r>
      <w:r w:rsidRPr="002A2345" w:rsidR="00B05476">
        <w:rPr>
          <w:sz w:val="20"/>
          <w:szCs w:val="20"/>
          <w:lang w:val="de-DE"/>
        </w:rPr>
        <w:t xml:space="preserve"> (n</w:t>
      </w:r>
      <w:r w:rsidRPr="002A2345" w:rsidR="003237F6">
        <w:rPr>
          <w:sz w:val="20"/>
          <w:szCs w:val="20"/>
          <w:lang w:val="de-DE"/>
        </w:rPr>
        <w:t>17</w:t>
      </w:r>
      <w:r w:rsidRPr="002A2345" w:rsidR="00C80A30">
        <w:rPr>
          <w:sz w:val="20"/>
          <w:szCs w:val="20"/>
          <w:lang w:val="de-DE"/>
        </w:rPr>
        <w:t>2</w:t>
      </w:r>
      <w:r w:rsidRPr="002A2345" w:rsidR="003237F6">
        <w:rPr>
          <w:sz w:val="20"/>
          <w:szCs w:val="20"/>
          <w:lang w:val="de-DE"/>
        </w:rPr>
        <w:t>)</w:t>
      </w:r>
      <w:r w:rsidRPr="002A2345">
        <w:rPr>
          <w:sz w:val="20"/>
          <w:szCs w:val="20"/>
          <w:lang w:val="de-DE"/>
        </w:rPr>
        <w:t xml:space="preserve"> 1341.</w:t>
      </w:r>
    </w:p>
  </w:footnote>
  <w:footnote w:id="184">
    <w:p w:rsidRPr="002A2345" w:rsidR="00C25581" w:rsidP="00C25581" w:rsidRDefault="00C25581" w14:paraId="671BD2B4" w14:textId="0A7EFE80">
      <w:pPr>
        <w:rPr>
          <w:sz w:val="20"/>
          <w:szCs w:val="20"/>
          <w:lang w:val="de-DE"/>
        </w:rPr>
      </w:pPr>
      <w:r w:rsidRPr="00460364">
        <w:rPr>
          <w:rStyle w:val="FootnoteReference"/>
          <w:sz w:val="20"/>
          <w:szCs w:val="20"/>
        </w:rPr>
        <w:footnoteRef/>
      </w:r>
      <w:r w:rsidRPr="002A2345">
        <w:rPr>
          <w:sz w:val="20"/>
          <w:szCs w:val="20"/>
          <w:lang w:val="de-DE"/>
        </w:rPr>
        <w:t xml:space="preserve"> Abela</w:t>
      </w:r>
      <w:r w:rsidRPr="002A2345" w:rsidR="003237F6">
        <w:rPr>
          <w:sz w:val="20"/>
          <w:szCs w:val="20"/>
          <w:lang w:val="de-DE"/>
        </w:rPr>
        <w:t xml:space="preserve"> (n1</w:t>
      </w:r>
      <w:r w:rsidRPr="002A2345" w:rsidR="00C80A30">
        <w:rPr>
          <w:sz w:val="20"/>
          <w:szCs w:val="20"/>
          <w:lang w:val="de-DE"/>
        </w:rPr>
        <w:t>30</w:t>
      </w:r>
      <w:r w:rsidRPr="002A2345" w:rsidR="003237F6">
        <w:rPr>
          <w:sz w:val="20"/>
          <w:szCs w:val="20"/>
          <w:lang w:val="de-DE"/>
        </w:rPr>
        <w:t xml:space="preserve">) </w:t>
      </w:r>
      <w:r w:rsidRPr="002A2345">
        <w:rPr>
          <w:sz w:val="20"/>
          <w:szCs w:val="20"/>
          <w:lang w:val="de-DE"/>
        </w:rPr>
        <w:t xml:space="preserve">21. </w:t>
      </w:r>
    </w:p>
  </w:footnote>
  <w:footnote w:id="185">
    <w:p w:rsidRPr="002A2345" w:rsidR="00844235" w:rsidP="00844235" w:rsidRDefault="00844235" w14:paraId="6F3A76FE" w14:textId="118E3E29">
      <w:pPr>
        <w:rPr>
          <w:sz w:val="20"/>
          <w:szCs w:val="20"/>
          <w:lang w:val="de-DE"/>
        </w:rPr>
      </w:pPr>
      <w:r w:rsidRPr="00460364">
        <w:rPr>
          <w:rStyle w:val="FootnoteReference"/>
          <w:sz w:val="20"/>
          <w:szCs w:val="20"/>
        </w:rPr>
        <w:footnoteRef/>
      </w:r>
      <w:r w:rsidRPr="002A2345">
        <w:rPr>
          <w:sz w:val="20"/>
          <w:szCs w:val="20"/>
          <w:lang w:val="de-DE"/>
        </w:rPr>
        <w:t xml:space="preserve"> Zimmerman</w:t>
      </w:r>
      <w:r w:rsidRPr="002A2345" w:rsidR="003237F6">
        <w:rPr>
          <w:sz w:val="20"/>
          <w:szCs w:val="20"/>
          <w:lang w:val="de-DE"/>
        </w:rPr>
        <w:t xml:space="preserve"> (n</w:t>
      </w:r>
      <w:r w:rsidRPr="002A2345" w:rsidR="00313829">
        <w:rPr>
          <w:sz w:val="20"/>
          <w:szCs w:val="20"/>
          <w:lang w:val="de-DE"/>
        </w:rPr>
        <w:t>8</w:t>
      </w:r>
      <w:r w:rsidRPr="002A2345" w:rsidR="00941F73">
        <w:rPr>
          <w:sz w:val="20"/>
          <w:szCs w:val="20"/>
          <w:lang w:val="de-DE"/>
        </w:rPr>
        <w:t>6</w:t>
      </w:r>
      <w:r w:rsidRPr="002A2345" w:rsidR="00313829">
        <w:rPr>
          <w:sz w:val="20"/>
          <w:szCs w:val="20"/>
          <w:lang w:val="de-DE"/>
        </w:rPr>
        <w:t xml:space="preserve">) </w:t>
      </w:r>
      <w:r w:rsidRPr="002A2345">
        <w:rPr>
          <w:sz w:val="20"/>
          <w:szCs w:val="20"/>
          <w:lang w:val="de-DE"/>
        </w:rPr>
        <w:t>2.</w:t>
      </w:r>
    </w:p>
  </w:footnote>
  <w:footnote w:id="186">
    <w:p w:rsidRPr="002A2345" w:rsidR="006B7A34" w:rsidP="006B7A34" w:rsidRDefault="006B7A34" w14:paraId="6428B5A0" w14:textId="4BA3523E">
      <w:pPr>
        <w:pStyle w:val="FootnoteText"/>
        <w:rPr>
          <w:lang w:val="de-DE"/>
        </w:rPr>
      </w:pPr>
      <w:r w:rsidRPr="00460364">
        <w:rPr>
          <w:rStyle w:val="FootnoteReference"/>
        </w:rPr>
        <w:footnoteRef/>
      </w:r>
      <w:r w:rsidRPr="002A2345">
        <w:rPr>
          <w:lang w:val="de-DE"/>
        </w:rPr>
        <w:t xml:space="preserve"> Zimmerman</w:t>
      </w:r>
      <w:r w:rsidRPr="002A2345" w:rsidR="00313829">
        <w:rPr>
          <w:lang w:val="de-DE"/>
        </w:rPr>
        <w:t xml:space="preserve"> (n8</w:t>
      </w:r>
      <w:r w:rsidRPr="002A2345" w:rsidR="00941F73">
        <w:rPr>
          <w:lang w:val="de-DE"/>
        </w:rPr>
        <w:t>6</w:t>
      </w:r>
      <w:r w:rsidRPr="002A2345" w:rsidR="00313829">
        <w:rPr>
          <w:lang w:val="de-DE"/>
        </w:rPr>
        <w:t xml:space="preserve">) </w:t>
      </w:r>
      <w:r w:rsidRPr="002A2345">
        <w:rPr>
          <w:lang w:val="de-DE"/>
        </w:rPr>
        <w:t>4</w:t>
      </w:r>
      <w:r w:rsidRPr="002A2345" w:rsidR="00B02599">
        <w:rPr>
          <w:lang w:val="de-DE"/>
        </w:rPr>
        <w:t xml:space="preserve">; </w:t>
      </w:r>
      <w:r w:rsidRPr="002A2345" w:rsidR="00164F06">
        <w:rPr>
          <w:lang w:val="de-DE"/>
        </w:rPr>
        <w:t>Mooney-Doyle</w:t>
      </w:r>
      <w:r w:rsidRPr="002A2345" w:rsidR="00313829">
        <w:rPr>
          <w:lang w:val="de-DE"/>
        </w:rPr>
        <w:t xml:space="preserve"> (n</w:t>
      </w:r>
      <w:r w:rsidRPr="002A2345" w:rsidR="00C86072">
        <w:rPr>
          <w:lang w:val="de-DE"/>
        </w:rPr>
        <w:t xml:space="preserve">48) </w:t>
      </w:r>
      <w:r w:rsidRPr="002A2345" w:rsidR="00164F06">
        <w:rPr>
          <w:lang w:val="de-DE"/>
        </w:rPr>
        <w:t>822.</w:t>
      </w:r>
    </w:p>
  </w:footnote>
  <w:footnote w:id="187">
    <w:p w:rsidRPr="00460364" w:rsidR="00DD3653" w:rsidP="00DD3653" w:rsidRDefault="00DD3653" w14:paraId="3DBC38E7" w14:textId="3188028D">
      <w:pPr>
        <w:pStyle w:val="FootnoteText"/>
      </w:pPr>
      <w:r w:rsidRPr="00460364">
        <w:rPr>
          <w:rStyle w:val="FootnoteReference"/>
        </w:rPr>
        <w:footnoteRef/>
      </w:r>
      <w:r w:rsidRPr="00460364">
        <w:t xml:space="preserve"> Zimmerman</w:t>
      </w:r>
      <w:r w:rsidR="00C86072">
        <w:t xml:space="preserve"> (n</w:t>
      </w:r>
      <w:r w:rsidR="00941F73">
        <w:t>86</w:t>
      </w:r>
      <w:r w:rsidR="00C86072">
        <w:t xml:space="preserve">) </w:t>
      </w:r>
      <w:r w:rsidRPr="00460364">
        <w:t>8.</w:t>
      </w:r>
    </w:p>
  </w:footnote>
  <w:footnote w:id="188">
    <w:p w:rsidRPr="001A43A0" w:rsidR="00CD596E" w:rsidP="00CD596E" w:rsidRDefault="00CD596E" w14:paraId="6DAA8FCF" w14:textId="437C9C71">
      <w:pPr>
        <w:pStyle w:val="FootnoteText"/>
      </w:pPr>
      <w:r w:rsidRPr="00460364">
        <w:rPr>
          <w:rStyle w:val="FootnoteReference"/>
        </w:rPr>
        <w:footnoteRef/>
      </w:r>
      <w:r w:rsidRPr="00460364">
        <w:t xml:space="preserve"> Abela </w:t>
      </w:r>
      <w:r w:rsidR="00C86072">
        <w:t>(n</w:t>
      </w:r>
      <w:r w:rsidR="00EB23D8">
        <w:t>1</w:t>
      </w:r>
      <w:r w:rsidR="00C80A30">
        <w:t>30</w:t>
      </w:r>
      <w:r w:rsidR="00EB23D8">
        <w:t xml:space="preserve">) </w:t>
      </w:r>
      <w:r w:rsidRPr="00460364">
        <w:t>26.</w:t>
      </w:r>
    </w:p>
  </w:footnote>
  <w:footnote w:id="189">
    <w:p w:rsidRPr="001A43A0" w:rsidR="000E3182" w:rsidP="000E3182" w:rsidRDefault="000E3182" w14:paraId="74C641AF" w14:textId="77777777">
      <w:pPr>
        <w:rPr>
          <w:sz w:val="20"/>
          <w:szCs w:val="20"/>
        </w:rPr>
      </w:pPr>
      <w:r w:rsidRPr="001A43A0">
        <w:rPr>
          <w:rStyle w:val="FootnoteReference"/>
          <w:sz w:val="20"/>
          <w:szCs w:val="20"/>
        </w:rPr>
        <w:footnoteRef/>
      </w:r>
      <w:r w:rsidRPr="001A43A0">
        <w:rPr>
          <w:sz w:val="20"/>
          <w:szCs w:val="20"/>
        </w:rPr>
        <w:t xml:space="preserve"> Robyn Stremler et al, ‘Psychological outcomes in parents of critically ill hospitalized children’ (2017) 34 Pediatric Nursing 36.</w:t>
      </w:r>
    </w:p>
  </w:footnote>
  <w:footnote w:id="190">
    <w:p w:rsidRPr="002A2345" w:rsidR="00D24F08" w:rsidP="00D24F08" w:rsidRDefault="00D24F08" w14:paraId="2BDC2FFF" w14:textId="406EADC9">
      <w:pPr>
        <w:pStyle w:val="FootnoteText"/>
        <w:rPr>
          <w:lang w:val="de-DE"/>
        </w:rPr>
      </w:pPr>
      <w:r w:rsidRPr="001A43A0">
        <w:rPr>
          <w:rStyle w:val="FootnoteReference"/>
        </w:rPr>
        <w:footnoteRef/>
      </w:r>
      <w:r w:rsidRPr="002A2345">
        <w:rPr>
          <w:lang w:val="de-DE"/>
        </w:rPr>
        <w:t xml:space="preserve"> Abela</w:t>
      </w:r>
      <w:r w:rsidRPr="002A2345" w:rsidR="00EB23D8">
        <w:rPr>
          <w:lang w:val="de-DE"/>
        </w:rPr>
        <w:t xml:space="preserve"> (n1</w:t>
      </w:r>
      <w:r w:rsidRPr="002A2345" w:rsidR="00C80A30">
        <w:rPr>
          <w:lang w:val="de-DE"/>
        </w:rPr>
        <w:t>30</w:t>
      </w:r>
      <w:r w:rsidRPr="002A2345" w:rsidR="00EB23D8">
        <w:rPr>
          <w:lang w:val="de-DE"/>
        </w:rPr>
        <w:t xml:space="preserve">) </w:t>
      </w:r>
      <w:r w:rsidRPr="002A2345">
        <w:rPr>
          <w:lang w:val="de-DE"/>
        </w:rPr>
        <w:t>28.</w:t>
      </w:r>
    </w:p>
  </w:footnote>
  <w:footnote w:id="191">
    <w:p w:rsidRPr="002A2345" w:rsidR="00CA43DA" w:rsidP="00CA43DA" w:rsidRDefault="00CA43DA" w14:paraId="43A43D6A" w14:textId="0CAD18C6">
      <w:pPr>
        <w:pStyle w:val="FootnoteText"/>
        <w:rPr>
          <w:lang w:val="de-DE"/>
        </w:rPr>
      </w:pPr>
      <w:r w:rsidRPr="001A43A0">
        <w:rPr>
          <w:rStyle w:val="FootnoteReference"/>
        </w:rPr>
        <w:footnoteRef/>
      </w:r>
      <w:r w:rsidRPr="002A2345">
        <w:rPr>
          <w:lang w:val="de-DE"/>
        </w:rPr>
        <w:t xml:space="preserve"> </w:t>
      </w:r>
      <w:r w:rsidRPr="002A2345" w:rsidR="00EB6CA5">
        <w:rPr>
          <w:lang w:val="de-DE"/>
        </w:rPr>
        <w:t>i</w:t>
      </w:r>
      <w:r w:rsidRPr="002A2345" w:rsidR="00EB23D8">
        <w:rPr>
          <w:lang w:val="de-DE"/>
        </w:rPr>
        <w:t>bid</w:t>
      </w:r>
      <w:r w:rsidRPr="002A2345" w:rsidR="00EB6CA5">
        <w:rPr>
          <w:lang w:val="de-DE"/>
        </w:rPr>
        <w:t>.</w:t>
      </w:r>
    </w:p>
  </w:footnote>
  <w:footnote w:id="192">
    <w:p w:rsidRPr="002A2345" w:rsidR="00585261" w:rsidP="00585261" w:rsidRDefault="00585261" w14:paraId="05F601BF" w14:textId="3B862798">
      <w:pPr>
        <w:rPr>
          <w:sz w:val="20"/>
          <w:szCs w:val="20"/>
          <w:lang w:val="de-DE"/>
        </w:rPr>
      </w:pPr>
      <w:r w:rsidRPr="00EB6CA5">
        <w:rPr>
          <w:rStyle w:val="FootnoteReference"/>
          <w:sz w:val="20"/>
          <w:szCs w:val="20"/>
        </w:rPr>
        <w:footnoteRef/>
      </w:r>
      <w:r w:rsidRPr="002A2345">
        <w:rPr>
          <w:sz w:val="20"/>
          <w:szCs w:val="20"/>
          <w:lang w:val="de-DE"/>
        </w:rPr>
        <w:t xml:space="preserve">  Stremler </w:t>
      </w:r>
      <w:r w:rsidRPr="002A2345" w:rsidR="00EB23D8">
        <w:rPr>
          <w:sz w:val="20"/>
          <w:szCs w:val="20"/>
          <w:lang w:val="de-DE"/>
        </w:rPr>
        <w:t>(n18</w:t>
      </w:r>
      <w:r w:rsidRPr="002A2345" w:rsidR="00C80A30">
        <w:rPr>
          <w:sz w:val="20"/>
          <w:szCs w:val="20"/>
          <w:lang w:val="de-DE"/>
        </w:rPr>
        <w:t>8</w:t>
      </w:r>
      <w:r w:rsidRPr="002A2345" w:rsidR="00EB23D8">
        <w:rPr>
          <w:sz w:val="20"/>
          <w:szCs w:val="20"/>
          <w:lang w:val="de-DE"/>
        </w:rPr>
        <w:t xml:space="preserve">) </w:t>
      </w:r>
      <w:r w:rsidRPr="002A2345">
        <w:rPr>
          <w:sz w:val="20"/>
          <w:szCs w:val="20"/>
          <w:lang w:val="de-DE"/>
        </w:rPr>
        <w:t>36.</w:t>
      </w:r>
    </w:p>
  </w:footnote>
  <w:footnote w:id="193">
    <w:p w:rsidRPr="00EB6CA5" w:rsidR="00CD596E" w:rsidP="00CD596E" w:rsidRDefault="00CD596E" w14:paraId="684A3026" w14:textId="77777777">
      <w:pPr>
        <w:rPr>
          <w:sz w:val="24"/>
          <w:szCs w:val="24"/>
        </w:rPr>
      </w:pPr>
      <w:r w:rsidRPr="00EB6CA5">
        <w:rPr>
          <w:rStyle w:val="FootnoteReference"/>
          <w:sz w:val="20"/>
          <w:szCs w:val="20"/>
        </w:rPr>
        <w:footnoteRef/>
      </w:r>
      <w:r w:rsidRPr="00EB6CA5">
        <w:rPr>
          <w:sz w:val="20"/>
          <w:szCs w:val="20"/>
        </w:rPr>
        <w:t xml:space="preserve"> Dominic Wilkinson, ‘Resolving conflict about treatment for seriously ill children’ (2022) 378 BMJ o2000</w:t>
      </w:r>
    </w:p>
  </w:footnote>
  <w:footnote w:id="194">
    <w:p w:rsidRPr="00EB6CA5" w:rsidR="00CD596E" w:rsidP="00CD596E" w:rsidRDefault="00CD596E" w14:paraId="0125FD72" w14:textId="1E544C29">
      <w:pPr>
        <w:rPr>
          <w:sz w:val="20"/>
          <w:szCs w:val="20"/>
        </w:rPr>
      </w:pPr>
      <w:r w:rsidRPr="00EB6CA5">
        <w:rPr>
          <w:rStyle w:val="FootnoteReference"/>
          <w:sz w:val="20"/>
          <w:szCs w:val="20"/>
        </w:rPr>
        <w:footnoteRef/>
      </w:r>
      <w:r w:rsidRPr="00EB6CA5">
        <w:rPr>
          <w:sz w:val="20"/>
          <w:szCs w:val="20"/>
        </w:rPr>
        <w:t xml:space="preserve"> Mir</w:t>
      </w:r>
      <w:r w:rsidRPr="00EB6CA5" w:rsidR="00F74E8F">
        <w:rPr>
          <w:sz w:val="20"/>
          <w:szCs w:val="20"/>
        </w:rPr>
        <w:t xml:space="preserve"> (n16</w:t>
      </w:r>
      <w:r w:rsidRPr="00EB6CA5" w:rsidR="00C80A30">
        <w:rPr>
          <w:sz w:val="20"/>
          <w:szCs w:val="20"/>
        </w:rPr>
        <w:t>7</w:t>
      </w:r>
      <w:r w:rsidRPr="00EB6CA5" w:rsidR="00F74E8F">
        <w:rPr>
          <w:sz w:val="20"/>
          <w:szCs w:val="20"/>
        </w:rPr>
        <w:t xml:space="preserve">) </w:t>
      </w:r>
      <w:r w:rsidRPr="00EB6CA5">
        <w:rPr>
          <w:sz w:val="20"/>
          <w:szCs w:val="20"/>
        </w:rPr>
        <w:t>2735.</w:t>
      </w:r>
    </w:p>
  </w:footnote>
  <w:footnote w:id="195">
    <w:p w:rsidRPr="00EB6CA5" w:rsidR="00C728A5" w:rsidP="00C728A5" w:rsidRDefault="00C728A5" w14:paraId="5D4F629F" w14:textId="77777777">
      <w:pPr>
        <w:pStyle w:val="FootnoteText"/>
      </w:pPr>
      <w:r w:rsidRPr="00EB6CA5">
        <w:rPr>
          <w:rStyle w:val="FootnoteReference"/>
        </w:rPr>
        <w:footnoteRef/>
      </w:r>
      <w:r w:rsidRPr="00EB6CA5">
        <w:t xml:space="preserve"> Louise Scott, ‘Charlie Gard’s parents wouldn’t wish court battle to save child “on worst enemy”’ (20 July 2022) itvNEWS &lt;https://www.itv.com/news/2022-07-20/charle-gards-parents-wouldt-wish-court-battle-to-save-child-on-worst-enemy&gt; Last accessed 20 March 2023. </w:t>
      </w:r>
    </w:p>
  </w:footnote>
  <w:footnote w:id="196">
    <w:p w:rsidRPr="00EB6CA5" w:rsidR="00B30FE8" w:rsidP="00B30FE8" w:rsidRDefault="00B30FE8" w14:paraId="76BAA58C" w14:textId="21BC295A">
      <w:pPr>
        <w:rPr>
          <w:sz w:val="20"/>
          <w:szCs w:val="20"/>
        </w:rPr>
      </w:pPr>
      <w:r w:rsidRPr="00EB6CA5">
        <w:rPr>
          <w:rStyle w:val="FootnoteReference"/>
          <w:sz w:val="20"/>
          <w:szCs w:val="20"/>
        </w:rPr>
        <w:footnoteRef/>
      </w:r>
      <w:r w:rsidRPr="00EB6CA5">
        <w:rPr>
          <w:sz w:val="20"/>
          <w:szCs w:val="20"/>
        </w:rPr>
        <w:t xml:space="preserve"> Sokel</w:t>
      </w:r>
      <w:r w:rsidRPr="00EB6CA5" w:rsidR="00FD1701">
        <w:rPr>
          <w:sz w:val="20"/>
          <w:szCs w:val="20"/>
        </w:rPr>
        <w:t xml:space="preserve"> (n10</w:t>
      </w:r>
      <w:r w:rsidRPr="00EB6CA5" w:rsidR="00C80A30">
        <w:rPr>
          <w:sz w:val="20"/>
          <w:szCs w:val="20"/>
        </w:rPr>
        <w:t>3</w:t>
      </w:r>
      <w:r w:rsidRPr="00EB6CA5" w:rsidR="00FD1701">
        <w:rPr>
          <w:sz w:val="20"/>
          <w:szCs w:val="20"/>
        </w:rPr>
        <w:t xml:space="preserve">) </w:t>
      </w:r>
      <w:r w:rsidRPr="00EB6CA5">
        <w:rPr>
          <w:sz w:val="20"/>
          <w:szCs w:val="20"/>
        </w:rPr>
        <w:t>o1980.</w:t>
      </w:r>
    </w:p>
  </w:footnote>
  <w:footnote w:id="197">
    <w:p w:rsidRPr="00EB6CA5" w:rsidR="0033262B" w:rsidP="0033262B" w:rsidRDefault="0033262B" w14:paraId="3D847BE9" w14:textId="77777777">
      <w:pPr>
        <w:pStyle w:val="FootnoteText"/>
      </w:pPr>
      <w:r w:rsidRPr="00EB6CA5">
        <w:rPr>
          <w:rStyle w:val="FootnoteReference"/>
        </w:rPr>
        <w:footnoteRef/>
      </w:r>
      <w:r w:rsidRPr="00EB6CA5">
        <w:t xml:space="preserve"> Neil Shaw, ‘ Archie Battersbee’s mum Hollie says his final moments were “awful”’ (19 August 2022) North Wales Live &lt;</w:t>
      </w:r>
      <w:hyperlink w:history="1" r:id="rId6">
        <w:r w:rsidRPr="00EB6CA5">
          <w:rPr>
            <w:rStyle w:val="Hyperlink"/>
            <w:color w:val="auto"/>
          </w:rPr>
          <w:t>https://www.dailypost.co.uk/news/north-wales-news-/archie-battersbees-mum-hollie-says-24796995</w:t>
        </w:r>
      </w:hyperlink>
      <w:r w:rsidRPr="00EB6CA5">
        <w:t>&gt; Last accessed 27 March 2023.</w:t>
      </w:r>
    </w:p>
  </w:footnote>
  <w:footnote w:id="198">
    <w:p w:rsidRPr="00EB6CA5" w:rsidR="0033262B" w:rsidP="0033262B" w:rsidRDefault="0033262B" w14:paraId="1E92610E" w14:textId="77F569AB">
      <w:pPr>
        <w:pStyle w:val="FootnoteText"/>
      </w:pPr>
      <w:r w:rsidRPr="00EB6CA5">
        <w:rPr>
          <w:rStyle w:val="FootnoteReference"/>
        </w:rPr>
        <w:footnoteRef/>
      </w:r>
      <w:r w:rsidRPr="00EB6CA5">
        <w:t xml:space="preserve"> Olivia </w:t>
      </w:r>
      <w:r w:rsidRPr="00EB6CA5" w:rsidR="001A43A0">
        <w:t>B</w:t>
      </w:r>
      <w:r w:rsidRPr="00EB6CA5">
        <w:t xml:space="preserve">urke, ‘Heartbreaking End: My beloved son Archie Battersbee died in 15 minutes with no dignity – the image will never leave me’ (19 August 2022) The Scottish Sun &lt;https://www.thescottishsun.co.uk/news/9332251/archie-battersbee-died-15-minutes-no-dignity-mum/amp/&gt; Last accessed 27 March 2023. </w:t>
      </w:r>
    </w:p>
  </w:footnote>
  <w:footnote w:id="199">
    <w:p w:rsidRPr="00EB6CA5" w:rsidR="00191CF9" w:rsidRDefault="00A3279E" w14:paraId="417611F0" w14:textId="296D7472">
      <w:pPr>
        <w:pStyle w:val="FootnoteText"/>
      </w:pPr>
      <w:r w:rsidRPr="00EB6CA5">
        <w:rPr>
          <w:rStyle w:val="FootnoteReference"/>
        </w:rPr>
        <w:footnoteRef/>
      </w:r>
      <w:r w:rsidRPr="00EB6CA5">
        <w:t xml:space="preserve"> Mooney-Doyle</w:t>
      </w:r>
      <w:r w:rsidRPr="00EB6CA5" w:rsidR="00CB2BB7">
        <w:t xml:space="preserve"> (n48)</w:t>
      </w:r>
      <w:r w:rsidRPr="00EB6CA5" w:rsidR="000B06DD">
        <w:t xml:space="preserve"> </w:t>
      </w:r>
      <w:r w:rsidRPr="00EB6CA5" w:rsidR="008F3EA0">
        <w:t>822</w:t>
      </w:r>
      <w:r w:rsidRPr="00EB6CA5" w:rsidR="00191CF9">
        <w:t>; Auckland</w:t>
      </w:r>
      <w:r w:rsidRPr="00EB6CA5" w:rsidR="00CB2BB7">
        <w:t xml:space="preserve"> (n</w:t>
      </w:r>
      <w:r w:rsidRPr="00EB6CA5" w:rsidR="00357815">
        <w:t xml:space="preserve">81) </w:t>
      </w:r>
      <w:r w:rsidRPr="00EB6CA5" w:rsidR="00191CF9">
        <w:t>299.</w:t>
      </w:r>
    </w:p>
  </w:footnote>
  <w:footnote w:id="200">
    <w:p w:rsidRPr="00EB6CA5" w:rsidR="0074487F" w:rsidP="00203815" w:rsidRDefault="0074487F" w14:paraId="6C598671" w14:textId="1A3F7D71">
      <w:pPr>
        <w:rPr>
          <w:sz w:val="20"/>
          <w:szCs w:val="20"/>
        </w:rPr>
      </w:pPr>
      <w:r w:rsidRPr="00EB6CA5">
        <w:rPr>
          <w:rStyle w:val="FootnoteReference"/>
          <w:sz w:val="20"/>
          <w:szCs w:val="20"/>
        </w:rPr>
        <w:footnoteRef/>
      </w:r>
      <w:r w:rsidRPr="00EB6CA5">
        <w:rPr>
          <w:sz w:val="20"/>
          <w:szCs w:val="20"/>
        </w:rPr>
        <w:t xml:space="preserve"> </w:t>
      </w:r>
      <w:r w:rsidRPr="00EB6CA5" w:rsidR="00203815">
        <w:rPr>
          <w:sz w:val="20"/>
          <w:szCs w:val="20"/>
        </w:rPr>
        <w:t>Macintosh</w:t>
      </w:r>
      <w:r w:rsidRPr="00EB6CA5" w:rsidR="00357815">
        <w:rPr>
          <w:sz w:val="20"/>
          <w:szCs w:val="20"/>
        </w:rPr>
        <w:t xml:space="preserve"> (n</w:t>
      </w:r>
      <w:r w:rsidRPr="00EB6CA5" w:rsidR="00B058C6">
        <w:rPr>
          <w:sz w:val="20"/>
          <w:szCs w:val="20"/>
        </w:rPr>
        <w:t>17</w:t>
      </w:r>
      <w:r w:rsidRPr="00EB6CA5" w:rsidR="00846198">
        <w:rPr>
          <w:sz w:val="20"/>
          <w:szCs w:val="20"/>
        </w:rPr>
        <w:t>5</w:t>
      </w:r>
      <w:r w:rsidRPr="00EB6CA5" w:rsidR="00B058C6">
        <w:rPr>
          <w:sz w:val="20"/>
          <w:szCs w:val="20"/>
        </w:rPr>
        <w:t>)</w:t>
      </w:r>
      <w:r w:rsidRPr="00EB6CA5" w:rsidR="00203815">
        <w:rPr>
          <w:sz w:val="20"/>
          <w:szCs w:val="20"/>
        </w:rPr>
        <w:t xml:space="preserve"> </w:t>
      </w:r>
      <w:r w:rsidRPr="00EB6CA5" w:rsidR="001C0CD3">
        <w:rPr>
          <w:sz w:val="20"/>
          <w:szCs w:val="20"/>
        </w:rPr>
        <w:t>2.</w:t>
      </w:r>
    </w:p>
  </w:footnote>
  <w:footnote w:id="201">
    <w:p w:rsidRPr="001A43A0" w:rsidR="009730AA" w:rsidP="009730AA" w:rsidRDefault="009730AA" w14:paraId="67AFFB9C" w14:textId="3B157462">
      <w:pPr>
        <w:rPr>
          <w:sz w:val="20"/>
          <w:szCs w:val="20"/>
        </w:rPr>
      </w:pPr>
      <w:r w:rsidRPr="00EB6CA5">
        <w:rPr>
          <w:rStyle w:val="FootnoteReference"/>
          <w:sz w:val="20"/>
          <w:szCs w:val="20"/>
        </w:rPr>
        <w:footnoteRef/>
      </w:r>
      <w:r w:rsidRPr="00EB6CA5">
        <w:rPr>
          <w:sz w:val="20"/>
          <w:szCs w:val="20"/>
        </w:rPr>
        <w:t xml:space="preserve"> Caruso Brown</w:t>
      </w:r>
      <w:r w:rsidRPr="00EB6CA5" w:rsidR="00B058C6">
        <w:rPr>
          <w:sz w:val="20"/>
          <w:szCs w:val="20"/>
        </w:rPr>
        <w:t xml:space="preserve"> (n59) </w:t>
      </w:r>
      <w:r w:rsidRPr="00EB6CA5">
        <w:rPr>
          <w:sz w:val="20"/>
          <w:szCs w:val="20"/>
        </w:rPr>
        <w:t>309.</w:t>
      </w:r>
    </w:p>
  </w:footnote>
  <w:footnote w:id="202">
    <w:p w:rsidRPr="001A43A0" w:rsidR="00F720D0" w:rsidRDefault="00F720D0" w14:paraId="6DAD142E" w14:textId="00D80658">
      <w:pPr>
        <w:pStyle w:val="FootnoteText"/>
      </w:pPr>
      <w:r w:rsidRPr="001A43A0">
        <w:rPr>
          <w:rStyle w:val="FootnoteReference"/>
        </w:rPr>
        <w:footnoteRef/>
      </w:r>
      <w:r w:rsidRPr="001A43A0">
        <w:t xml:space="preserve"> Margaret H </w:t>
      </w:r>
      <w:r w:rsidRPr="001A43A0">
        <w:rPr>
          <w:color w:val="000000"/>
        </w:rPr>
        <w:t>Barlet et al, ‘Decisional Satisfaction, Regret and Conflict among Parents of Infants with Neurologic Conditions’ (2022) 245 The Journal of Pediatrics 81</w:t>
      </w:r>
      <w:r w:rsidRPr="001A43A0" w:rsidR="00F134AD">
        <w:rPr>
          <w:color w:val="000000"/>
        </w:rPr>
        <w:t>, 85.</w:t>
      </w:r>
    </w:p>
  </w:footnote>
  <w:footnote w:id="203">
    <w:p w:rsidR="00326A08" w:rsidRDefault="00326A08" w14:paraId="5E286B88" w14:textId="7C8D966D">
      <w:pPr>
        <w:pStyle w:val="FootnoteText"/>
      </w:pPr>
      <w:r>
        <w:rPr>
          <w:rStyle w:val="FootnoteReference"/>
        </w:rPr>
        <w:footnoteRef/>
      </w:r>
      <w:r>
        <w:t xml:space="preserve"> </w:t>
      </w:r>
      <w:r w:rsidR="00DD2F6B">
        <w:t xml:space="preserve">ibid </w:t>
      </w:r>
      <w:r w:rsidR="00C3450C">
        <w:rPr>
          <w:color w:val="000000"/>
        </w:rPr>
        <w:t>87.</w:t>
      </w:r>
    </w:p>
  </w:footnote>
  <w:footnote w:id="204">
    <w:p w:rsidR="00030B94" w:rsidP="00030B94" w:rsidRDefault="00030B94" w14:paraId="29CF9485" w14:textId="58F32CC5">
      <w:pPr>
        <w:pStyle w:val="FootnoteText"/>
      </w:pPr>
      <w:r w:rsidRPr="001A43A0">
        <w:rPr>
          <w:rStyle w:val="FootnoteReference"/>
        </w:rPr>
        <w:footnoteRef/>
      </w:r>
      <w:r w:rsidRPr="001A43A0">
        <w:t xml:space="preserve"> CL Brosig et al, ‘Infant end-of-life care: The Parents Perspective’ (2007) 27(8) J Perinatol 510 as cited in Mooney-Doyle </w:t>
      </w:r>
      <w:r w:rsidR="00D23362">
        <w:t xml:space="preserve">(n48) </w:t>
      </w:r>
      <w:r w:rsidRPr="001A43A0">
        <w:t>827.</w:t>
      </w:r>
    </w:p>
  </w:footnote>
  <w:footnote w:id="205">
    <w:p w:rsidRPr="008424C8" w:rsidR="00030B94" w:rsidP="00030B94" w:rsidRDefault="00030B94" w14:paraId="1B816C3D" w14:textId="04784DBD">
      <w:pPr>
        <w:rPr>
          <w:sz w:val="20"/>
          <w:szCs w:val="20"/>
        </w:rPr>
      </w:pPr>
      <w:r w:rsidRPr="00DE5B08">
        <w:rPr>
          <w:rStyle w:val="FootnoteReference"/>
          <w:sz w:val="20"/>
          <w:szCs w:val="20"/>
        </w:rPr>
        <w:footnoteRef/>
      </w:r>
      <w:r w:rsidRPr="00DE5B08">
        <w:rPr>
          <w:sz w:val="20"/>
          <w:szCs w:val="20"/>
        </w:rPr>
        <w:t xml:space="preserve"> Bateman </w:t>
      </w:r>
      <w:r w:rsidR="001772A0">
        <w:rPr>
          <w:sz w:val="20"/>
          <w:szCs w:val="20"/>
        </w:rPr>
        <w:t>(n1</w:t>
      </w:r>
      <w:r w:rsidR="00846198">
        <w:rPr>
          <w:sz w:val="20"/>
          <w:szCs w:val="20"/>
        </w:rPr>
        <w:t>10</w:t>
      </w:r>
      <w:r w:rsidR="001772A0">
        <w:rPr>
          <w:sz w:val="20"/>
          <w:szCs w:val="20"/>
        </w:rPr>
        <w:t xml:space="preserve">) </w:t>
      </w:r>
      <w:r w:rsidRPr="00DE5B08">
        <w:rPr>
          <w:sz w:val="20"/>
          <w:szCs w:val="20"/>
        </w:rPr>
        <w:t>903.</w:t>
      </w:r>
    </w:p>
  </w:footnote>
  <w:footnote w:id="206">
    <w:p w:rsidRPr="001A43A0" w:rsidR="00102165" w:rsidP="00102165" w:rsidRDefault="00102165" w14:paraId="4AE0B265" w14:textId="3407F078">
      <w:pPr>
        <w:rPr>
          <w:sz w:val="20"/>
          <w:szCs w:val="20"/>
        </w:rPr>
      </w:pPr>
      <w:r w:rsidRPr="001A43A0">
        <w:rPr>
          <w:rStyle w:val="FootnoteReference"/>
          <w:sz w:val="20"/>
          <w:szCs w:val="20"/>
        </w:rPr>
        <w:footnoteRef/>
      </w:r>
      <w:r w:rsidRPr="001A43A0">
        <w:rPr>
          <w:sz w:val="20"/>
          <w:szCs w:val="20"/>
        </w:rPr>
        <w:t xml:space="preserve"> Moore</w:t>
      </w:r>
      <w:r w:rsidR="001772A0">
        <w:rPr>
          <w:sz w:val="20"/>
          <w:szCs w:val="20"/>
        </w:rPr>
        <w:t xml:space="preserve"> (n63) </w:t>
      </w:r>
      <w:r w:rsidRPr="001A43A0">
        <w:rPr>
          <w:sz w:val="20"/>
          <w:szCs w:val="20"/>
        </w:rPr>
        <w:t>60.</w:t>
      </w:r>
    </w:p>
  </w:footnote>
  <w:footnote w:id="207">
    <w:p w:rsidRPr="001A43A0" w:rsidR="00F26277" w:rsidP="00F26277" w:rsidRDefault="00F26277" w14:paraId="1FA27FAB" w14:textId="1A06502E">
      <w:pPr>
        <w:rPr>
          <w:sz w:val="20"/>
          <w:szCs w:val="20"/>
        </w:rPr>
      </w:pPr>
      <w:r w:rsidRPr="001A43A0">
        <w:rPr>
          <w:rStyle w:val="FootnoteReference"/>
          <w:sz w:val="20"/>
          <w:szCs w:val="20"/>
        </w:rPr>
        <w:footnoteRef/>
      </w:r>
      <w:r w:rsidR="00C321C5">
        <w:rPr>
          <w:sz w:val="20"/>
          <w:szCs w:val="20"/>
        </w:rPr>
        <w:t xml:space="preserve"> </w:t>
      </w:r>
      <w:r w:rsidRPr="001A43A0">
        <w:rPr>
          <w:sz w:val="20"/>
          <w:szCs w:val="20"/>
        </w:rPr>
        <w:t>HK Johal et al, ‘Conflict before the Courtroom: Challenging Cognitive Biases in Critical Decision-Making’ [2020] J Med Ethics: medethics-2020-106177.</w:t>
      </w:r>
    </w:p>
  </w:footnote>
  <w:footnote w:id="208">
    <w:p w:rsidRPr="002A2345" w:rsidR="00F26277" w:rsidP="00F26277" w:rsidRDefault="00F26277" w14:paraId="3808765F" w14:textId="223931D7">
      <w:pPr>
        <w:pStyle w:val="FootnoteText"/>
        <w:rPr>
          <w:lang w:val="de-DE"/>
        </w:rPr>
      </w:pPr>
      <w:r w:rsidRPr="001A43A0">
        <w:rPr>
          <w:rStyle w:val="FootnoteReference"/>
        </w:rPr>
        <w:footnoteRef/>
      </w:r>
      <w:r w:rsidRPr="002A2345">
        <w:rPr>
          <w:lang w:val="de-DE"/>
        </w:rPr>
        <w:t xml:space="preserve"> Katz</w:t>
      </w:r>
      <w:r w:rsidRPr="002A2345" w:rsidR="00BD2EE1">
        <w:rPr>
          <w:lang w:val="de-DE"/>
        </w:rPr>
        <w:t xml:space="preserve"> (n58)</w:t>
      </w:r>
      <w:r w:rsidRPr="002A2345">
        <w:rPr>
          <w:lang w:val="de-DE"/>
        </w:rPr>
        <w:t xml:space="preserve"> 1370.</w:t>
      </w:r>
    </w:p>
  </w:footnote>
  <w:footnote w:id="209">
    <w:p w:rsidRPr="002A2345" w:rsidR="005E58FA" w:rsidP="005E58FA" w:rsidRDefault="005E58FA" w14:paraId="774A5FAC" w14:textId="574186D7">
      <w:pPr>
        <w:pStyle w:val="FootnoteText"/>
        <w:rPr>
          <w:lang w:val="de-DE"/>
        </w:rPr>
      </w:pPr>
      <w:r w:rsidRPr="001A43A0">
        <w:rPr>
          <w:rStyle w:val="FootnoteReference"/>
        </w:rPr>
        <w:footnoteRef/>
      </w:r>
      <w:r w:rsidRPr="002A2345">
        <w:rPr>
          <w:lang w:val="de-DE"/>
        </w:rPr>
        <w:t xml:space="preserve"> Sokel</w:t>
      </w:r>
      <w:r w:rsidRPr="002A2345" w:rsidR="00BD2EE1">
        <w:rPr>
          <w:lang w:val="de-DE"/>
        </w:rPr>
        <w:t xml:space="preserve"> (n</w:t>
      </w:r>
      <w:r w:rsidRPr="002A2345" w:rsidR="00B019C8">
        <w:rPr>
          <w:lang w:val="de-DE"/>
        </w:rPr>
        <w:t>10</w:t>
      </w:r>
      <w:r w:rsidRPr="002A2345" w:rsidR="00941F73">
        <w:rPr>
          <w:lang w:val="de-DE"/>
        </w:rPr>
        <w:t>3</w:t>
      </w:r>
      <w:r w:rsidRPr="002A2345" w:rsidR="00B019C8">
        <w:rPr>
          <w:lang w:val="de-DE"/>
        </w:rPr>
        <w:t xml:space="preserve">) </w:t>
      </w:r>
      <w:r w:rsidRPr="002A2345">
        <w:rPr>
          <w:lang w:val="de-DE"/>
        </w:rPr>
        <w:t>o1980; Mi</w:t>
      </w:r>
      <w:r w:rsidRPr="002A2345" w:rsidR="00B019C8">
        <w:rPr>
          <w:lang w:val="de-DE"/>
        </w:rPr>
        <w:t>r (n16</w:t>
      </w:r>
      <w:r w:rsidRPr="002A2345" w:rsidR="00846198">
        <w:rPr>
          <w:lang w:val="de-DE"/>
        </w:rPr>
        <w:t>7</w:t>
      </w:r>
      <w:r w:rsidRPr="002A2345" w:rsidR="00B019C8">
        <w:rPr>
          <w:lang w:val="de-DE"/>
        </w:rPr>
        <w:t xml:space="preserve">) </w:t>
      </w:r>
      <w:r w:rsidRPr="002A2345">
        <w:rPr>
          <w:lang w:val="de-DE"/>
        </w:rPr>
        <w:t>2735.</w:t>
      </w:r>
    </w:p>
  </w:footnote>
  <w:footnote w:id="210">
    <w:p w:rsidRPr="002A2345" w:rsidR="006931D5" w:rsidP="006931D5" w:rsidRDefault="006931D5" w14:paraId="0A0F23C6" w14:textId="584DA0AB">
      <w:pPr>
        <w:pStyle w:val="FootnoteText"/>
        <w:rPr>
          <w:lang w:val="de-DE"/>
        </w:rPr>
      </w:pPr>
      <w:r w:rsidRPr="001A43A0">
        <w:rPr>
          <w:rStyle w:val="FootnoteReference"/>
        </w:rPr>
        <w:footnoteRef/>
      </w:r>
      <w:r w:rsidRPr="002A2345">
        <w:rPr>
          <w:lang w:val="de-DE"/>
        </w:rPr>
        <w:t xml:space="preserve"> Zimmerman</w:t>
      </w:r>
      <w:r w:rsidRPr="002A2345" w:rsidR="00B019C8">
        <w:rPr>
          <w:lang w:val="de-DE"/>
        </w:rPr>
        <w:t xml:space="preserve"> (n</w:t>
      </w:r>
      <w:r w:rsidRPr="002A2345" w:rsidR="00FA5FE6">
        <w:rPr>
          <w:lang w:val="de-DE"/>
        </w:rPr>
        <w:t>86</w:t>
      </w:r>
      <w:r w:rsidRPr="002A2345" w:rsidR="00D447EC">
        <w:rPr>
          <w:lang w:val="de-DE"/>
        </w:rPr>
        <w:t xml:space="preserve">) </w:t>
      </w:r>
      <w:r w:rsidRPr="002A2345">
        <w:rPr>
          <w:lang w:val="de-DE"/>
        </w:rPr>
        <w:t>5.</w:t>
      </w:r>
    </w:p>
  </w:footnote>
  <w:footnote w:id="211">
    <w:p w:rsidRPr="002A2345" w:rsidR="007A5DF6" w:rsidRDefault="007A5DF6" w14:paraId="5043AB04" w14:textId="227990B7">
      <w:pPr>
        <w:pStyle w:val="FootnoteText"/>
        <w:rPr>
          <w:lang w:val="de-DE"/>
        </w:rPr>
      </w:pPr>
      <w:r w:rsidRPr="001A43A0">
        <w:rPr>
          <w:rStyle w:val="FootnoteReference"/>
        </w:rPr>
        <w:footnoteRef/>
      </w:r>
      <w:r w:rsidRPr="002A2345">
        <w:rPr>
          <w:lang w:val="de-DE"/>
        </w:rPr>
        <w:t xml:space="preserve"> </w:t>
      </w:r>
      <w:r w:rsidRPr="002A2345" w:rsidR="00F416FE">
        <w:rPr>
          <w:lang w:val="de-DE"/>
        </w:rPr>
        <w:t>Forbat</w:t>
      </w:r>
      <w:r w:rsidRPr="002A2345" w:rsidR="00584016">
        <w:rPr>
          <w:lang w:val="de-DE"/>
        </w:rPr>
        <w:t xml:space="preserve"> (n47)</w:t>
      </w:r>
      <w:r w:rsidRPr="002A2345" w:rsidR="00EC67A6">
        <w:rPr>
          <w:lang w:val="de-DE"/>
        </w:rPr>
        <w:t>.</w:t>
      </w:r>
    </w:p>
  </w:footnote>
  <w:footnote w:id="212">
    <w:p w:rsidRPr="002A2345" w:rsidR="007B7DE8" w:rsidP="00503322" w:rsidRDefault="007B7DE8" w14:paraId="6089FB1E" w14:textId="337075D0">
      <w:pPr>
        <w:rPr>
          <w:sz w:val="20"/>
          <w:szCs w:val="20"/>
          <w:lang w:val="de-DE"/>
        </w:rPr>
      </w:pPr>
      <w:r w:rsidRPr="001A43A0">
        <w:rPr>
          <w:rStyle w:val="FootnoteReference"/>
          <w:sz w:val="20"/>
          <w:szCs w:val="20"/>
        </w:rPr>
        <w:footnoteRef/>
      </w:r>
      <w:r w:rsidRPr="002A2345">
        <w:rPr>
          <w:sz w:val="20"/>
          <w:szCs w:val="20"/>
          <w:lang w:val="de-DE"/>
        </w:rPr>
        <w:t xml:space="preserve"> </w:t>
      </w:r>
      <w:r w:rsidRPr="002A2345" w:rsidR="00503322">
        <w:rPr>
          <w:sz w:val="20"/>
          <w:szCs w:val="20"/>
          <w:lang w:val="de-DE"/>
        </w:rPr>
        <w:t>Auckland</w:t>
      </w:r>
      <w:r w:rsidRPr="002A2345" w:rsidR="00584016">
        <w:rPr>
          <w:sz w:val="20"/>
          <w:szCs w:val="20"/>
          <w:lang w:val="de-DE"/>
        </w:rPr>
        <w:t xml:space="preserve"> (n</w:t>
      </w:r>
      <w:r w:rsidRPr="002A2345" w:rsidR="001B3BC3">
        <w:rPr>
          <w:sz w:val="20"/>
          <w:szCs w:val="20"/>
          <w:lang w:val="de-DE"/>
        </w:rPr>
        <w:t>8</w:t>
      </w:r>
      <w:r w:rsidRPr="002A2345" w:rsidR="00FA5FE6">
        <w:rPr>
          <w:sz w:val="20"/>
          <w:szCs w:val="20"/>
          <w:lang w:val="de-DE"/>
        </w:rPr>
        <w:t>8</w:t>
      </w:r>
      <w:r w:rsidRPr="002A2345" w:rsidR="001B3BC3">
        <w:rPr>
          <w:sz w:val="20"/>
          <w:szCs w:val="20"/>
          <w:lang w:val="de-DE"/>
        </w:rPr>
        <w:t xml:space="preserve">) </w:t>
      </w:r>
      <w:r w:rsidRPr="002A2345" w:rsidR="00792B43">
        <w:rPr>
          <w:sz w:val="20"/>
          <w:szCs w:val="20"/>
          <w:lang w:val="de-DE"/>
        </w:rPr>
        <w:t>649.</w:t>
      </w:r>
    </w:p>
  </w:footnote>
  <w:footnote w:id="213">
    <w:p w:rsidRPr="002A2345" w:rsidR="00AB6271" w:rsidP="00AB6271" w:rsidRDefault="00AB6271" w14:paraId="35B07E84" w14:textId="5C73C104">
      <w:pPr>
        <w:pStyle w:val="FootnoteText"/>
        <w:rPr>
          <w:lang w:val="de-DE"/>
        </w:rPr>
      </w:pPr>
      <w:r w:rsidRPr="001A43A0">
        <w:rPr>
          <w:rStyle w:val="FootnoteReference"/>
        </w:rPr>
        <w:footnoteRef/>
      </w:r>
      <w:r w:rsidRPr="002A2345" w:rsidR="001B3BC3">
        <w:rPr>
          <w:lang w:val="de-DE"/>
        </w:rPr>
        <w:t xml:space="preserve"> </w:t>
      </w:r>
      <w:r w:rsidRPr="002A2345" w:rsidR="00461276">
        <w:rPr>
          <w:lang w:val="de-DE"/>
        </w:rPr>
        <w:t>i</w:t>
      </w:r>
      <w:r w:rsidRPr="002A2345" w:rsidR="001B3BC3">
        <w:rPr>
          <w:lang w:val="de-DE"/>
        </w:rPr>
        <w:t>bid</w:t>
      </w:r>
      <w:r w:rsidRPr="002A2345" w:rsidR="00461276">
        <w:rPr>
          <w:lang w:val="de-DE"/>
        </w:rPr>
        <w:t>.</w:t>
      </w:r>
    </w:p>
  </w:footnote>
  <w:footnote w:id="214">
    <w:p w:rsidRPr="002A2345" w:rsidR="00821418" w:rsidP="00C407F4" w:rsidRDefault="00821418" w14:paraId="53E54B66" w14:textId="6E484AAA">
      <w:pPr>
        <w:rPr>
          <w:sz w:val="20"/>
          <w:szCs w:val="20"/>
          <w:lang w:val="de-DE"/>
        </w:rPr>
      </w:pPr>
      <w:r w:rsidRPr="00366B5B">
        <w:rPr>
          <w:rStyle w:val="FootnoteReference"/>
          <w:sz w:val="20"/>
          <w:szCs w:val="20"/>
        </w:rPr>
        <w:footnoteRef/>
      </w:r>
      <w:r w:rsidRPr="002A2345">
        <w:rPr>
          <w:sz w:val="20"/>
          <w:szCs w:val="20"/>
          <w:lang w:val="de-DE"/>
        </w:rPr>
        <w:t xml:space="preserve"> Katz</w:t>
      </w:r>
      <w:r w:rsidRPr="002A2345" w:rsidR="001B3BC3">
        <w:rPr>
          <w:sz w:val="20"/>
          <w:szCs w:val="20"/>
          <w:lang w:val="de-DE"/>
        </w:rPr>
        <w:t xml:space="preserve"> (n58) </w:t>
      </w:r>
      <w:r w:rsidRPr="002A2345">
        <w:rPr>
          <w:sz w:val="20"/>
          <w:szCs w:val="20"/>
          <w:lang w:val="de-DE"/>
        </w:rPr>
        <w:t>1370.</w:t>
      </w:r>
    </w:p>
  </w:footnote>
  <w:footnote w:id="215">
    <w:p w:rsidRPr="002A2345" w:rsidR="00DE0DB7" w:rsidP="00DE0DB7" w:rsidRDefault="00DE0DB7" w14:paraId="35F127C8" w14:textId="4FB13655">
      <w:pPr>
        <w:pStyle w:val="FootnoteText"/>
        <w:rPr>
          <w:lang w:val="de-DE"/>
        </w:rPr>
      </w:pPr>
      <w:r w:rsidRPr="00366B5B">
        <w:rPr>
          <w:rStyle w:val="FootnoteReference"/>
        </w:rPr>
        <w:footnoteRef/>
      </w:r>
      <w:r w:rsidRPr="002A2345">
        <w:rPr>
          <w:lang w:val="de-DE"/>
        </w:rPr>
        <w:t xml:space="preserve"> Abela </w:t>
      </w:r>
      <w:r w:rsidRPr="002A2345" w:rsidR="001B3BC3">
        <w:rPr>
          <w:lang w:val="de-DE"/>
        </w:rPr>
        <w:t>(n</w:t>
      </w:r>
      <w:r w:rsidRPr="002A2345" w:rsidR="00311E05">
        <w:rPr>
          <w:lang w:val="de-DE"/>
        </w:rPr>
        <w:t>1</w:t>
      </w:r>
      <w:r w:rsidRPr="002A2345" w:rsidR="00846198">
        <w:rPr>
          <w:lang w:val="de-DE"/>
        </w:rPr>
        <w:t>30</w:t>
      </w:r>
      <w:r w:rsidRPr="002A2345" w:rsidR="00311E05">
        <w:rPr>
          <w:lang w:val="de-DE"/>
        </w:rPr>
        <w:t xml:space="preserve">) </w:t>
      </w:r>
      <w:r w:rsidRPr="002A2345">
        <w:rPr>
          <w:lang w:val="de-DE"/>
        </w:rPr>
        <w:t>29.</w:t>
      </w:r>
    </w:p>
  </w:footnote>
  <w:footnote w:id="216">
    <w:p w:rsidR="00C407F4" w:rsidRDefault="00C407F4" w14:paraId="33A48692" w14:textId="0C6025C5">
      <w:pPr>
        <w:pStyle w:val="FootnoteText"/>
      </w:pPr>
      <w:r>
        <w:rPr>
          <w:rStyle w:val="FootnoteReference"/>
        </w:rPr>
        <w:footnoteRef/>
      </w:r>
      <w:r>
        <w:t xml:space="preserve"> </w:t>
      </w:r>
      <w:r w:rsidRPr="001A43A0">
        <w:t>Mooney-Doyle</w:t>
      </w:r>
      <w:r w:rsidR="00311E05">
        <w:t xml:space="preserve"> (n</w:t>
      </w:r>
      <w:r w:rsidR="009852D2">
        <w:t xml:space="preserve">48) </w:t>
      </w:r>
      <w:r w:rsidRPr="001A43A0">
        <w:t>822</w:t>
      </w:r>
      <w:r>
        <w:t xml:space="preserve">; </w:t>
      </w:r>
      <w:r w:rsidRPr="001A43A0">
        <w:t xml:space="preserve">Auckland </w:t>
      </w:r>
      <w:r w:rsidR="009852D2">
        <w:t xml:space="preserve">(n81) </w:t>
      </w:r>
      <w:r w:rsidRPr="001A43A0">
        <w:t>299</w:t>
      </w:r>
      <w:r>
        <w:t>.</w:t>
      </w:r>
    </w:p>
  </w:footnote>
  <w:footnote w:id="217">
    <w:p w:rsidR="0097497B" w:rsidRDefault="0097497B" w14:paraId="3B3631E0" w14:textId="0BABB19B">
      <w:pPr>
        <w:pStyle w:val="FootnoteText"/>
      </w:pPr>
      <w:r>
        <w:rPr>
          <w:rStyle w:val="FootnoteReference"/>
        </w:rPr>
        <w:footnoteRef/>
      </w:r>
      <w:r>
        <w:t xml:space="preserve"> </w:t>
      </w:r>
      <w:r w:rsidRPr="001A43A0">
        <w:t>Mooney-Doyle</w:t>
      </w:r>
      <w:r w:rsidR="009852D2">
        <w:t xml:space="preserve"> (n48) </w:t>
      </w:r>
      <w:r w:rsidRPr="001A43A0">
        <w:t>822</w:t>
      </w:r>
      <w:r>
        <w:t>.</w:t>
      </w:r>
    </w:p>
  </w:footnote>
  <w:footnote w:id="218">
    <w:p w:rsidR="00467BCC" w:rsidP="00526E72" w:rsidRDefault="00467BCC" w14:paraId="38E77661" w14:textId="223C63F3">
      <w:pPr>
        <w:pStyle w:val="FootnoteText"/>
      </w:pPr>
      <w:r>
        <w:rPr>
          <w:rStyle w:val="FootnoteReference"/>
        </w:rPr>
        <w:footnoteRef/>
      </w:r>
      <w:r>
        <w:t xml:space="preserve"> </w:t>
      </w:r>
      <w:r w:rsidR="00896DD3">
        <w:t xml:space="preserve">British Medical Association, </w:t>
      </w:r>
      <w:r w:rsidRPr="001A0CCB" w:rsidR="00350A03">
        <w:rPr>
          <w:i/>
          <w:iCs/>
        </w:rPr>
        <w:t xml:space="preserve">Moral Distress and Moral Injury: Recognising and </w:t>
      </w:r>
      <w:r w:rsidR="00E4228B">
        <w:rPr>
          <w:i/>
          <w:iCs/>
        </w:rPr>
        <w:t>T</w:t>
      </w:r>
      <w:r w:rsidRPr="001A0CCB" w:rsidR="00350A03">
        <w:rPr>
          <w:i/>
          <w:iCs/>
        </w:rPr>
        <w:t>ackling it for UK Doc</w:t>
      </w:r>
      <w:r w:rsidRPr="001A0CCB" w:rsidR="00094FFB">
        <w:rPr>
          <w:i/>
          <w:iCs/>
        </w:rPr>
        <w:t>tors</w:t>
      </w:r>
      <w:r w:rsidR="00094FFB">
        <w:t xml:space="preserve"> </w:t>
      </w:r>
      <w:r w:rsidR="000C19DD">
        <w:t xml:space="preserve">(2021, BMA) </w:t>
      </w:r>
      <w:r w:rsidR="001A0CCB">
        <w:t>3.</w:t>
      </w:r>
    </w:p>
  </w:footnote>
  <w:footnote w:id="219">
    <w:p w:rsidRPr="00DC7D9F" w:rsidR="001213E0" w:rsidP="001213E0" w:rsidRDefault="001213E0" w14:paraId="7D957713" w14:textId="58874C82">
      <w:pPr>
        <w:pStyle w:val="FootnoteText"/>
      </w:pPr>
      <w:r>
        <w:rPr>
          <w:rStyle w:val="FootnoteReference"/>
        </w:rPr>
        <w:footnoteRef/>
      </w:r>
      <w:r w:rsidRPr="00DC7D9F">
        <w:t xml:space="preserve"> Mooney-Doyle</w:t>
      </w:r>
      <w:r w:rsidR="00141E06">
        <w:t xml:space="preserve"> (n48) </w:t>
      </w:r>
      <w:r w:rsidRPr="00DC7D9F">
        <w:t>822.</w:t>
      </w:r>
    </w:p>
  </w:footnote>
  <w:footnote w:id="220">
    <w:p w:rsidRPr="00DC7D9F" w:rsidR="00BE1D52" w:rsidRDefault="00BE1D52" w14:paraId="3862D095" w14:textId="70436DD1">
      <w:pPr>
        <w:pStyle w:val="FootnoteText"/>
      </w:pPr>
      <w:r w:rsidRPr="00DC7D9F">
        <w:rPr>
          <w:rStyle w:val="FootnoteReference"/>
        </w:rPr>
        <w:footnoteRef/>
      </w:r>
      <w:r w:rsidRPr="00DC7D9F">
        <w:t xml:space="preserve"> </w:t>
      </w:r>
      <w:r w:rsidRPr="00DC7D9F" w:rsidR="001F7073">
        <w:t>Wallis</w:t>
      </w:r>
      <w:r w:rsidR="00141E06">
        <w:t xml:space="preserve"> (n</w:t>
      </w:r>
      <w:r w:rsidR="004A4806">
        <w:t>14</w:t>
      </w:r>
      <w:r w:rsidR="00846198">
        <w:t>4</w:t>
      </w:r>
      <w:r w:rsidR="004A4806">
        <w:t xml:space="preserve">) </w:t>
      </w:r>
      <w:r w:rsidRPr="00DC7D9F" w:rsidR="001F7073">
        <w:t>413</w:t>
      </w:r>
      <w:r w:rsidRPr="00DC7D9F" w:rsidR="00DC7D9F">
        <w:t>.</w:t>
      </w:r>
    </w:p>
  </w:footnote>
  <w:footnote w:id="221">
    <w:p w:rsidR="009D1689" w:rsidRDefault="009D1689" w14:paraId="01FED37A" w14:textId="4D65C1E8">
      <w:pPr>
        <w:pStyle w:val="FootnoteText"/>
      </w:pPr>
      <w:r>
        <w:rPr>
          <w:rStyle w:val="FootnoteReference"/>
        </w:rPr>
        <w:footnoteRef/>
      </w:r>
      <w:r>
        <w:t xml:space="preserve"> </w:t>
      </w:r>
      <w:r w:rsidR="00025899">
        <w:t>[187].</w:t>
      </w:r>
    </w:p>
  </w:footnote>
  <w:footnote w:id="222">
    <w:p w:rsidRPr="00DC7D9F" w:rsidR="00FA68AC" w:rsidP="00FA68AC" w:rsidRDefault="00FA68AC" w14:paraId="10431747" w14:textId="4A432AE1">
      <w:pPr>
        <w:pStyle w:val="FootnoteText"/>
      </w:pPr>
      <w:r w:rsidRPr="00DC7D9F">
        <w:rPr>
          <w:rStyle w:val="FootnoteReference"/>
        </w:rPr>
        <w:footnoteRef/>
      </w:r>
      <w:r w:rsidRPr="00DC7D9F">
        <w:t xml:space="preserve"> Gollop </w:t>
      </w:r>
      <w:r w:rsidR="004A4806">
        <w:t>(n</w:t>
      </w:r>
      <w:r w:rsidR="004F2305">
        <w:t>12</w:t>
      </w:r>
      <w:r w:rsidR="00846198">
        <w:t>8</w:t>
      </w:r>
      <w:r w:rsidR="004F2305">
        <w:t>)</w:t>
      </w:r>
      <w:r w:rsidR="00A85D68">
        <w:t>.</w:t>
      </w:r>
    </w:p>
  </w:footnote>
  <w:footnote w:id="223">
    <w:p w:rsidRPr="00DC7D9F" w:rsidR="008D30FD" w:rsidP="008D30FD" w:rsidRDefault="008D30FD" w14:paraId="74555ED8" w14:textId="2FA76EE9">
      <w:pPr>
        <w:pStyle w:val="FootnoteText"/>
      </w:pPr>
      <w:r w:rsidRPr="00DC7D9F">
        <w:rPr>
          <w:rStyle w:val="FootnoteReference"/>
        </w:rPr>
        <w:footnoteRef/>
      </w:r>
      <w:r w:rsidRPr="00DC7D9F">
        <w:t xml:space="preserve"> Forba</w:t>
      </w:r>
      <w:r w:rsidR="004F2305">
        <w:t>t (n47)</w:t>
      </w:r>
      <w:r w:rsidR="00A85D68">
        <w:t>.</w:t>
      </w:r>
    </w:p>
  </w:footnote>
  <w:footnote w:id="224">
    <w:p w:rsidRPr="00DC7D9F" w:rsidR="004D66EF" w:rsidP="004D66EF" w:rsidRDefault="004D66EF" w14:paraId="113B6924" w14:textId="21992C30">
      <w:pPr>
        <w:rPr>
          <w:sz w:val="20"/>
          <w:szCs w:val="20"/>
        </w:rPr>
      </w:pPr>
      <w:r w:rsidRPr="00DC7D9F">
        <w:rPr>
          <w:rStyle w:val="FootnoteReference"/>
          <w:sz w:val="20"/>
          <w:szCs w:val="20"/>
        </w:rPr>
        <w:footnoteRef/>
      </w:r>
      <w:r w:rsidRPr="00DC7D9F">
        <w:rPr>
          <w:sz w:val="20"/>
          <w:szCs w:val="20"/>
        </w:rPr>
        <w:t xml:space="preserve"> Birchley</w:t>
      </w:r>
      <w:r w:rsidR="00AC1669">
        <w:rPr>
          <w:sz w:val="20"/>
          <w:szCs w:val="20"/>
        </w:rPr>
        <w:t xml:space="preserve"> (n10</w:t>
      </w:r>
      <w:r w:rsidR="00846198">
        <w:rPr>
          <w:sz w:val="20"/>
          <w:szCs w:val="20"/>
        </w:rPr>
        <w:t>8</w:t>
      </w:r>
      <w:r w:rsidR="00AC1669">
        <w:rPr>
          <w:sz w:val="20"/>
          <w:szCs w:val="20"/>
        </w:rPr>
        <w:t xml:space="preserve">) </w:t>
      </w:r>
      <w:r w:rsidRPr="00DC7D9F">
        <w:rPr>
          <w:sz w:val="20"/>
          <w:szCs w:val="20"/>
        </w:rPr>
        <w:t>1.</w:t>
      </w:r>
    </w:p>
  </w:footnote>
  <w:footnote w:id="225">
    <w:p w:rsidRPr="002A2345" w:rsidR="009025F9" w:rsidP="007A368C" w:rsidRDefault="009025F9" w14:paraId="152065DA" w14:textId="310C96A7">
      <w:pPr>
        <w:rPr>
          <w:sz w:val="20"/>
          <w:szCs w:val="20"/>
          <w:lang w:val="de-DE"/>
        </w:rPr>
      </w:pPr>
      <w:r w:rsidRPr="0029116B">
        <w:rPr>
          <w:rStyle w:val="FootnoteReference"/>
          <w:sz w:val="20"/>
          <w:szCs w:val="20"/>
        </w:rPr>
        <w:footnoteRef/>
      </w:r>
      <w:r w:rsidRPr="002A2345">
        <w:rPr>
          <w:sz w:val="20"/>
          <w:szCs w:val="20"/>
          <w:lang w:val="de-DE"/>
        </w:rPr>
        <w:t xml:space="preserve"> </w:t>
      </w:r>
      <w:r w:rsidRPr="002A2345" w:rsidR="00761D47">
        <w:rPr>
          <w:sz w:val="20"/>
          <w:szCs w:val="20"/>
          <w:lang w:val="de-DE"/>
        </w:rPr>
        <w:t>Wallis</w:t>
      </w:r>
      <w:r w:rsidRPr="002A2345" w:rsidR="00AC1669">
        <w:rPr>
          <w:sz w:val="20"/>
          <w:szCs w:val="20"/>
          <w:lang w:val="de-DE"/>
        </w:rPr>
        <w:t xml:space="preserve"> (n</w:t>
      </w:r>
      <w:r w:rsidRPr="002A2345" w:rsidR="000E0A0D">
        <w:rPr>
          <w:sz w:val="20"/>
          <w:szCs w:val="20"/>
          <w:lang w:val="de-DE"/>
        </w:rPr>
        <w:t>14</w:t>
      </w:r>
      <w:r w:rsidRPr="002A2345" w:rsidR="00846198">
        <w:rPr>
          <w:sz w:val="20"/>
          <w:szCs w:val="20"/>
          <w:lang w:val="de-DE"/>
        </w:rPr>
        <w:t>4</w:t>
      </w:r>
      <w:r w:rsidRPr="002A2345" w:rsidR="000E0A0D">
        <w:rPr>
          <w:sz w:val="20"/>
          <w:szCs w:val="20"/>
          <w:lang w:val="de-DE"/>
        </w:rPr>
        <w:t xml:space="preserve">) </w:t>
      </w:r>
      <w:r w:rsidRPr="002A2345" w:rsidR="0029116B">
        <w:rPr>
          <w:sz w:val="20"/>
          <w:szCs w:val="20"/>
          <w:lang w:val="de-DE"/>
        </w:rPr>
        <w:t>414.</w:t>
      </w:r>
    </w:p>
  </w:footnote>
  <w:footnote w:id="226">
    <w:p w:rsidRPr="002A2345" w:rsidR="00CF4730" w:rsidRDefault="00CF4730" w14:paraId="6FA2D5E0" w14:textId="4EBF9307">
      <w:pPr>
        <w:pStyle w:val="FootnoteText"/>
        <w:rPr>
          <w:lang w:val="de-DE"/>
        </w:rPr>
      </w:pPr>
      <w:r w:rsidRPr="00DC7D9F">
        <w:rPr>
          <w:rStyle w:val="FootnoteReference"/>
        </w:rPr>
        <w:footnoteRef/>
      </w:r>
      <w:r w:rsidRPr="002A2345">
        <w:rPr>
          <w:lang w:val="de-DE"/>
        </w:rPr>
        <w:t xml:space="preserve"> Mir</w:t>
      </w:r>
      <w:r w:rsidRPr="002A2345" w:rsidR="000E0A0D">
        <w:rPr>
          <w:lang w:val="de-DE"/>
        </w:rPr>
        <w:t xml:space="preserve"> (n16</w:t>
      </w:r>
      <w:r w:rsidRPr="002A2345" w:rsidR="00846198">
        <w:rPr>
          <w:lang w:val="de-DE"/>
        </w:rPr>
        <w:t>7</w:t>
      </w:r>
      <w:r w:rsidRPr="002A2345" w:rsidR="000E0A0D">
        <w:rPr>
          <w:lang w:val="de-DE"/>
        </w:rPr>
        <w:t xml:space="preserve">) </w:t>
      </w:r>
      <w:r w:rsidRPr="002A2345">
        <w:rPr>
          <w:lang w:val="de-DE"/>
        </w:rPr>
        <w:t>2735.</w:t>
      </w:r>
    </w:p>
  </w:footnote>
  <w:footnote w:id="227">
    <w:p w:rsidRPr="002A2345" w:rsidR="00881D2C" w:rsidRDefault="00881D2C" w14:paraId="19696CD1" w14:textId="29DB68A1">
      <w:pPr>
        <w:pStyle w:val="FootnoteText"/>
        <w:rPr>
          <w:lang w:val="de-DE"/>
        </w:rPr>
      </w:pPr>
      <w:r w:rsidRPr="00DC7D9F">
        <w:rPr>
          <w:rStyle w:val="FootnoteReference"/>
        </w:rPr>
        <w:footnoteRef/>
      </w:r>
      <w:r w:rsidRPr="002A2345">
        <w:rPr>
          <w:lang w:val="de-DE"/>
        </w:rPr>
        <w:t xml:space="preserve"> </w:t>
      </w:r>
      <w:r w:rsidRPr="002A2345" w:rsidR="00F416FE">
        <w:rPr>
          <w:lang w:val="de-DE"/>
        </w:rPr>
        <w:t xml:space="preserve"> Forbat</w:t>
      </w:r>
      <w:r w:rsidRPr="002A2345" w:rsidR="000E0A0D">
        <w:rPr>
          <w:lang w:val="de-DE"/>
        </w:rPr>
        <w:t xml:space="preserve"> (n47)</w:t>
      </w:r>
      <w:r w:rsidRPr="002A2345" w:rsidR="00A85D68">
        <w:rPr>
          <w:lang w:val="de-DE"/>
        </w:rPr>
        <w:t>.</w:t>
      </w:r>
    </w:p>
  </w:footnote>
  <w:footnote w:id="228">
    <w:p w:rsidRPr="00E17B14" w:rsidR="00830518" w:rsidP="00E17B14" w:rsidRDefault="00830518" w14:paraId="7330528C" w14:textId="656CD1BE">
      <w:pPr>
        <w:rPr>
          <w:sz w:val="20"/>
          <w:szCs w:val="20"/>
        </w:rPr>
      </w:pPr>
      <w:r w:rsidRPr="00E17B14">
        <w:rPr>
          <w:rStyle w:val="FootnoteReference"/>
          <w:sz w:val="20"/>
          <w:szCs w:val="20"/>
        </w:rPr>
        <w:footnoteRef/>
      </w:r>
      <w:r w:rsidRPr="00E17B14">
        <w:rPr>
          <w:sz w:val="20"/>
          <w:szCs w:val="20"/>
        </w:rPr>
        <w:t xml:space="preserve"> </w:t>
      </w:r>
      <w:r w:rsidRPr="00E17B14" w:rsidR="00E17B14">
        <w:rPr>
          <w:sz w:val="20"/>
          <w:szCs w:val="20"/>
        </w:rPr>
        <w:t>Clare Bell and Joe Brierley, ‘What is the impact of high-profile end-of-life disputes on Paediatric Intensive Care (PIC) trainees?’</w:t>
      </w:r>
      <w:r w:rsidR="006A7ECF">
        <w:rPr>
          <w:sz w:val="20"/>
          <w:szCs w:val="20"/>
        </w:rPr>
        <w:t xml:space="preserve"> </w:t>
      </w:r>
      <w:r w:rsidRPr="00E17B14" w:rsidR="00E17B14">
        <w:rPr>
          <w:sz w:val="20"/>
          <w:szCs w:val="20"/>
        </w:rPr>
        <w:t>(2022) 107(Suppl 2) Arch Dis Child A1-A537</w:t>
      </w:r>
      <w:r w:rsidR="007504F3">
        <w:rPr>
          <w:sz w:val="20"/>
          <w:szCs w:val="20"/>
        </w:rPr>
        <w:t>, A366.</w:t>
      </w:r>
    </w:p>
  </w:footnote>
  <w:footnote w:id="229">
    <w:p w:rsidRPr="00E17B14" w:rsidR="00770C0D" w:rsidP="00770C0D" w:rsidRDefault="00770C0D" w14:paraId="03A40FB3" w14:textId="67BA8CE2">
      <w:pPr>
        <w:pStyle w:val="FootnoteText"/>
      </w:pPr>
      <w:r w:rsidRPr="00E17B14">
        <w:rPr>
          <w:rStyle w:val="FootnoteReference"/>
        </w:rPr>
        <w:footnoteRef/>
      </w:r>
      <w:r w:rsidRPr="00E17B14">
        <w:t xml:space="preserve"> Sokel</w:t>
      </w:r>
      <w:r w:rsidR="006A7ECF">
        <w:t xml:space="preserve"> (n10</w:t>
      </w:r>
      <w:r w:rsidR="00FA5FE6">
        <w:t>3</w:t>
      </w:r>
      <w:r w:rsidR="006A7ECF">
        <w:t>)</w:t>
      </w:r>
      <w:r w:rsidR="00A85D68">
        <w:t>.</w:t>
      </w:r>
    </w:p>
  </w:footnote>
  <w:footnote w:id="230">
    <w:p w:rsidRPr="00E17B14" w:rsidR="00770C0D" w:rsidP="007E5BF8" w:rsidRDefault="00770C0D" w14:paraId="004F736F" w14:textId="12C3F855">
      <w:pPr>
        <w:rPr>
          <w:sz w:val="20"/>
          <w:szCs w:val="20"/>
        </w:rPr>
      </w:pPr>
      <w:r w:rsidRPr="00E17B14">
        <w:rPr>
          <w:rStyle w:val="FootnoteReference"/>
          <w:sz w:val="20"/>
          <w:szCs w:val="20"/>
        </w:rPr>
        <w:footnoteRef/>
      </w:r>
      <w:r w:rsidRPr="00E17B14">
        <w:rPr>
          <w:sz w:val="20"/>
          <w:szCs w:val="20"/>
        </w:rPr>
        <w:t xml:space="preserve"> Jesmont </w:t>
      </w:r>
      <w:r w:rsidR="006A7ECF">
        <w:rPr>
          <w:sz w:val="20"/>
          <w:szCs w:val="20"/>
        </w:rPr>
        <w:t xml:space="preserve">(n16) </w:t>
      </w:r>
      <w:r w:rsidRPr="00E17B14">
        <w:rPr>
          <w:sz w:val="20"/>
          <w:szCs w:val="20"/>
        </w:rPr>
        <w:t>1238.</w:t>
      </w:r>
    </w:p>
  </w:footnote>
  <w:footnote w:id="231">
    <w:p w:rsidRPr="002A2345" w:rsidR="009101CA" w:rsidRDefault="009101CA" w14:paraId="028FA3FD" w14:textId="0D1B28B4">
      <w:pPr>
        <w:pStyle w:val="FootnoteText"/>
        <w:rPr>
          <w:lang w:val="it-IT"/>
        </w:rPr>
      </w:pPr>
      <w:r w:rsidRPr="00E17B14">
        <w:rPr>
          <w:rStyle w:val="FootnoteReference"/>
        </w:rPr>
        <w:footnoteRef/>
      </w:r>
      <w:r w:rsidRPr="002A2345" w:rsidR="00987687">
        <w:rPr>
          <w:lang w:val="it-IT"/>
        </w:rPr>
        <w:t xml:space="preserve"> Sokel</w:t>
      </w:r>
      <w:r w:rsidRPr="002A2345" w:rsidR="00286901">
        <w:rPr>
          <w:lang w:val="it-IT"/>
        </w:rPr>
        <w:t xml:space="preserve"> (n10</w:t>
      </w:r>
      <w:r w:rsidRPr="002A2345" w:rsidR="00FA5FE6">
        <w:rPr>
          <w:lang w:val="it-IT"/>
        </w:rPr>
        <w:t>3</w:t>
      </w:r>
      <w:r w:rsidRPr="002A2345" w:rsidR="00286901">
        <w:rPr>
          <w:lang w:val="it-IT"/>
        </w:rPr>
        <w:t xml:space="preserve">) </w:t>
      </w:r>
      <w:r w:rsidRPr="002A2345" w:rsidR="00987687">
        <w:rPr>
          <w:lang w:val="it-IT"/>
        </w:rPr>
        <w:t>o1980.</w:t>
      </w:r>
    </w:p>
  </w:footnote>
  <w:footnote w:id="232">
    <w:p w:rsidRPr="002A2345" w:rsidR="00355690" w:rsidRDefault="00355690" w14:paraId="77865805" w14:textId="70CA53EF">
      <w:pPr>
        <w:pStyle w:val="FootnoteText"/>
        <w:rPr>
          <w:lang w:val="it-IT"/>
        </w:rPr>
      </w:pPr>
      <w:r w:rsidRPr="00E17B14">
        <w:rPr>
          <w:rStyle w:val="FootnoteReference"/>
        </w:rPr>
        <w:footnoteRef/>
      </w:r>
      <w:r w:rsidRPr="002A2345">
        <w:rPr>
          <w:lang w:val="it-IT"/>
        </w:rPr>
        <w:t xml:space="preserve"> </w:t>
      </w:r>
      <w:r w:rsidRPr="002A2345" w:rsidR="009E28FE">
        <w:rPr>
          <w:lang w:val="it-IT"/>
        </w:rPr>
        <w:t xml:space="preserve"> Mir</w:t>
      </w:r>
      <w:r w:rsidRPr="002A2345" w:rsidR="00286901">
        <w:rPr>
          <w:lang w:val="it-IT"/>
        </w:rPr>
        <w:t xml:space="preserve"> (n16</w:t>
      </w:r>
      <w:r w:rsidRPr="002A2345" w:rsidR="00846198">
        <w:rPr>
          <w:lang w:val="it-IT"/>
        </w:rPr>
        <w:t>7</w:t>
      </w:r>
      <w:r w:rsidRPr="002A2345" w:rsidR="00286901">
        <w:rPr>
          <w:lang w:val="it-IT"/>
        </w:rPr>
        <w:t>)</w:t>
      </w:r>
      <w:r w:rsidRPr="002A2345" w:rsidR="00233FB5">
        <w:rPr>
          <w:lang w:val="it-IT"/>
        </w:rPr>
        <w:t xml:space="preserve"> </w:t>
      </w:r>
      <w:r w:rsidRPr="002A2345" w:rsidR="009E28FE">
        <w:rPr>
          <w:lang w:val="it-IT"/>
        </w:rPr>
        <w:t>2735.</w:t>
      </w:r>
    </w:p>
  </w:footnote>
  <w:footnote w:id="233">
    <w:p w:rsidRPr="002A2345" w:rsidR="00604AE6" w:rsidRDefault="00604AE6" w14:paraId="1F4DBFE9" w14:textId="0FAB8698">
      <w:pPr>
        <w:pStyle w:val="FootnoteText"/>
        <w:rPr>
          <w:lang w:val="it-IT"/>
        </w:rPr>
      </w:pPr>
      <w:r w:rsidRPr="00E17B14">
        <w:rPr>
          <w:rStyle w:val="FootnoteReference"/>
        </w:rPr>
        <w:footnoteRef/>
      </w:r>
      <w:r w:rsidRPr="002A2345">
        <w:rPr>
          <w:lang w:val="it-IT"/>
        </w:rPr>
        <w:t xml:space="preserve"> Sokel</w:t>
      </w:r>
      <w:r w:rsidRPr="002A2345" w:rsidR="00286901">
        <w:rPr>
          <w:lang w:val="it-IT"/>
        </w:rPr>
        <w:t xml:space="preserve"> (n10</w:t>
      </w:r>
      <w:r w:rsidRPr="002A2345" w:rsidR="00FA5FE6">
        <w:rPr>
          <w:lang w:val="it-IT"/>
        </w:rPr>
        <w:t>3</w:t>
      </w:r>
      <w:r w:rsidRPr="002A2345" w:rsidR="00286901">
        <w:rPr>
          <w:lang w:val="it-IT"/>
        </w:rPr>
        <w:t xml:space="preserve">) </w:t>
      </w:r>
      <w:r w:rsidRPr="002A2345">
        <w:rPr>
          <w:lang w:val="it-IT"/>
        </w:rPr>
        <w:t>o1980.</w:t>
      </w:r>
    </w:p>
  </w:footnote>
  <w:footnote w:id="234">
    <w:p w:rsidRPr="002A2345" w:rsidR="007A5DF6" w:rsidRDefault="007A5DF6" w14:paraId="00CAAABD" w14:textId="2BD4F01B">
      <w:pPr>
        <w:pStyle w:val="FootnoteText"/>
        <w:rPr>
          <w:lang w:val="de-DE"/>
        </w:rPr>
      </w:pPr>
      <w:r w:rsidRPr="00E17B14">
        <w:rPr>
          <w:rStyle w:val="FootnoteReference"/>
        </w:rPr>
        <w:footnoteRef/>
      </w:r>
      <w:r w:rsidRPr="002A2345">
        <w:rPr>
          <w:lang w:val="de-DE"/>
        </w:rPr>
        <w:t xml:space="preserve"> </w:t>
      </w:r>
      <w:r w:rsidRPr="002A2345" w:rsidR="0088379F">
        <w:rPr>
          <w:lang w:val="de-DE"/>
        </w:rPr>
        <w:t xml:space="preserve"> Forbat</w:t>
      </w:r>
      <w:r w:rsidRPr="002A2345" w:rsidR="00286901">
        <w:rPr>
          <w:lang w:val="de-DE"/>
        </w:rPr>
        <w:t xml:space="preserve"> (n47)</w:t>
      </w:r>
      <w:r w:rsidRPr="002A2345" w:rsidR="00233FB5">
        <w:rPr>
          <w:lang w:val="de-DE"/>
        </w:rPr>
        <w:t>.</w:t>
      </w:r>
      <w:r w:rsidRPr="002A2345" w:rsidR="00286901">
        <w:rPr>
          <w:lang w:val="de-DE"/>
        </w:rPr>
        <w:t xml:space="preserve"> </w:t>
      </w:r>
    </w:p>
  </w:footnote>
  <w:footnote w:id="235">
    <w:p w:rsidRPr="002A2345" w:rsidR="00E07B03" w:rsidP="000F397A" w:rsidRDefault="00E07B03" w14:paraId="45FF8F8C" w14:textId="1CB820A8">
      <w:pPr>
        <w:rPr>
          <w:sz w:val="20"/>
          <w:szCs w:val="20"/>
          <w:lang w:val="de-DE"/>
        </w:rPr>
      </w:pPr>
      <w:r w:rsidRPr="005E704E">
        <w:rPr>
          <w:rStyle w:val="FootnoteReference"/>
          <w:sz w:val="20"/>
          <w:szCs w:val="20"/>
        </w:rPr>
        <w:footnoteRef/>
      </w:r>
      <w:r w:rsidRPr="002A2345" w:rsidR="000F397A">
        <w:rPr>
          <w:sz w:val="20"/>
          <w:szCs w:val="20"/>
          <w:lang w:val="de-DE"/>
        </w:rPr>
        <w:t xml:space="preserve"> Auckland</w:t>
      </w:r>
      <w:r w:rsidRPr="002A2345" w:rsidR="001B3553">
        <w:rPr>
          <w:sz w:val="20"/>
          <w:szCs w:val="20"/>
          <w:lang w:val="de-DE"/>
        </w:rPr>
        <w:t xml:space="preserve"> (n81)</w:t>
      </w:r>
      <w:r w:rsidRPr="002A2345" w:rsidR="000F397A">
        <w:rPr>
          <w:sz w:val="20"/>
          <w:szCs w:val="20"/>
          <w:lang w:val="de-DE"/>
        </w:rPr>
        <w:t xml:space="preserve"> </w:t>
      </w:r>
      <w:r w:rsidRPr="002A2345" w:rsidR="005E704E">
        <w:rPr>
          <w:sz w:val="20"/>
          <w:szCs w:val="20"/>
          <w:lang w:val="de-DE"/>
        </w:rPr>
        <w:t>291.</w:t>
      </w:r>
    </w:p>
  </w:footnote>
  <w:footnote w:id="236">
    <w:p w:rsidRPr="002A2345" w:rsidR="00BA56BB" w:rsidP="00540BC8" w:rsidRDefault="00BA56BB" w14:paraId="1CC62F9B" w14:textId="145CA89A">
      <w:pPr>
        <w:rPr>
          <w:sz w:val="20"/>
          <w:szCs w:val="20"/>
          <w:lang w:val="de-DE"/>
        </w:rPr>
      </w:pPr>
      <w:r w:rsidRPr="005E704E">
        <w:rPr>
          <w:rStyle w:val="FootnoteReference"/>
          <w:sz w:val="20"/>
          <w:szCs w:val="20"/>
        </w:rPr>
        <w:footnoteRef/>
      </w:r>
      <w:r w:rsidRPr="002A2345">
        <w:rPr>
          <w:sz w:val="20"/>
          <w:szCs w:val="20"/>
          <w:lang w:val="de-DE"/>
        </w:rPr>
        <w:t xml:space="preserve"> </w:t>
      </w:r>
      <w:r w:rsidRPr="002A2345" w:rsidR="00FF7FBE">
        <w:rPr>
          <w:sz w:val="20"/>
          <w:szCs w:val="20"/>
          <w:lang w:val="de-DE"/>
        </w:rPr>
        <w:t>Das</w:t>
      </w:r>
      <w:r w:rsidRPr="002A2345" w:rsidR="001B3553">
        <w:rPr>
          <w:sz w:val="20"/>
          <w:szCs w:val="20"/>
          <w:lang w:val="de-DE"/>
        </w:rPr>
        <w:t xml:space="preserve"> (n</w:t>
      </w:r>
      <w:r w:rsidRPr="002A2345" w:rsidR="009E4130">
        <w:rPr>
          <w:sz w:val="20"/>
          <w:szCs w:val="20"/>
          <w:lang w:val="de-DE"/>
        </w:rPr>
        <w:t>14</w:t>
      </w:r>
      <w:r w:rsidRPr="002A2345" w:rsidR="00846198">
        <w:rPr>
          <w:sz w:val="20"/>
          <w:szCs w:val="20"/>
          <w:lang w:val="de-DE"/>
        </w:rPr>
        <w:t>8</w:t>
      </w:r>
      <w:r w:rsidRPr="002A2345" w:rsidR="009E4130">
        <w:rPr>
          <w:sz w:val="20"/>
          <w:szCs w:val="20"/>
          <w:lang w:val="de-DE"/>
        </w:rPr>
        <w:t xml:space="preserve">) </w:t>
      </w:r>
      <w:r w:rsidRPr="002A2345" w:rsidR="009F04F0">
        <w:rPr>
          <w:sz w:val="20"/>
          <w:szCs w:val="20"/>
          <w:lang w:val="de-DE"/>
        </w:rPr>
        <w:t>76</w:t>
      </w:r>
      <w:r w:rsidRPr="002A2345" w:rsidR="00B1124B">
        <w:rPr>
          <w:sz w:val="20"/>
          <w:szCs w:val="20"/>
          <w:lang w:val="de-DE"/>
        </w:rPr>
        <w:t>.</w:t>
      </w:r>
    </w:p>
  </w:footnote>
  <w:footnote w:id="237">
    <w:p w:rsidRPr="00C77039" w:rsidR="00540BC8" w:rsidRDefault="00540BC8" w14:paraId="696BE0FA" w14:textId="3E5E28A0">
      <w:pPr>
        <w:pStyle w:val="FootnoteText"/>
      </w:pPr>
      <w:r w:rsidRPr="005E704E">
        <w:rPr>
          <w:rStyle w:val="FootnoteReference"/>
        </w:rPr>
        <w:footnoteRef/>
      </w:r>
      <w:r w:rsidR="009E4130">
        <w:t xml:space="preserve"> ibid</w:t>
      </w:r>
      <w:r w:rsidRPr="00C77039" w:rsidR="00B1124B">
        <w:t xml:space="preserve"> 83.</w:t>
      </w:r>
    </w:p>
  </w:footnote>
  <w:footnote w:id="238">
    <w:p w:rsidRPr="002710C1" w:rsidR="00A465F6" w:rsidP="002710C1" w:rsidRDefault="00A465F6" w14:paraId="3B388A02" w14:textId="7A2151B2">
      <w:pPr>
        <w:rPr>
          <w:sz w:val="20"/>
          <w:szCs w:val="20"/>
        </w:rPr>
      </w:pPr>
      <w:r w:rsidRPr="00C77039">
        <w:rPr>
          <w:rStyle w:val="FootnoteReference"/>
          <w:sz w:val="20"/>
          <w:szCs w:val="20"/>
        </w:rPr>
        <w:footnoteRef/>
      </w:r>
      <w:r w:rsidR="00C77039">
        <w:rPr>
          <w:sz w:val="20"/>
          <w:szCs w:val="20"/>
        </w:rPr>
        <w:t xml:space="preserve"> BJ </w:t>
      </w:r>
      <w:r w:rsidRPr="00C77039" w:rsidR="00C77039">
        <w:rPr>
          <w:sz w:val="20"/>
          <w:szCs w:val="20"/>
        </w:rPr>
        <w:t xml:space="preserve">Teuten, </w:t>
      </w:r>
      <w:r w:rsidR="00C77039">
        <w:rPr>
          <w:sz w:val="20"/>
          <w:szCs w:val="20"/>
        </w:rPr>
        <w:t xml:space="preserve">E </w:t>
      </w:r>
      <w:r w:rsidRPr="00C77039" w:rsidR="00C77039">
        <w:rPr>
          <w:sz w:val="20"/>
          <w:szCs w:val="20"/>
        </w:rPr>
        <w:t xml:space="preserve">Forbat &amp; </w:t>
      </w:r>
      <w:r w:rsidR="00C77039">
        <w:rPr>
          <w:sz w:val="20"/>
          <w:szCs w:val="20"/>
        </w:rPr>
        <w:t xml:space="preserve">SF </w:t>
      </w:r>
      <w:r w:rsidRPr="00C77039" w:rsidR="00C77039">
        <w:rPr>
          <w:sz w:val="20"/>
          <w:szCs w:val="20"/>
        </w:rPr>
        <w:t>Barclay, ‘The Conflict Pathway: A model to address conflict in paediatric practice’ (2012) 97 (Supp 1) Arch Dis Child A5.</w:t>
      </w:r>
    </w:p>
  </w:footnote>
  <w:footnote w:id="239">
    <w:p w:rsidRPr="008E20B9" w:rsidR="00BC3FF0" w:rsidP="00F40979" w:rsidRDefault="00BC3FF0" w14:paraId="28C074C2" w14:textId="7AB257FF">
      <w:pPr>
        <w:rPr>
          <w:sz w:val="20"/>
          <w:szCs w:val="20"/>
        </w:rPr>
      </w:pPr>
      <w:r w:rsidRPr="008E20B9">
        <w:rPr>
          <w:rStyle w:val="FootnoteReference"/>
          <w:sz w:val="20"/>
          <w:szCs w:val="20"/>
        </w:rPr>
        <w:footnoteRef/>
      </w:r>
      <w:r w:rsidRPr="008E20B9">
        <w:rPr>
          <w:sz w:val="20"/>
          <w:szCs w:val="20"/>
        </w:rPr>
        <w:t xml:space="preserve"> </w:t>
      </w:r>
      <w:r w:rsidRPr="008E20B9" w:rsidR="004F1797">
        <w:rPr>
          <w:sz w:val="20"/>
          <w:szCs w:val="20"/>
        </w:rPr>
        <w:t xml:space="preserve">  Forbat</w:t>
      </w:r>
      <w:r w:rsidR="00A36156">
        <w:rPr>
          <w:sz w:val="20"/>
          <w:szCs w:val="20"/>
        </w:rPr>
        <w:t xml:space="preserve"> (n</w:t>
      </w:r>
      <w:r w:rsidR="004702F9">
        <w:rPr>
          <w:sz w:val="20"/>
          <w:szCs w:val="20"/>
        </w:rPr>
        <w:t>43)</w:t>
      </w:r>
      <w:r w:rsidRPr="008E20B9" w:rsidR="004F1797">
        <w:rPr>
          <w:sz w:val="20"/>
          <w:szCs w:val="20"/>
        </w:rPr>
        <w:t xml:space="preserve"> </w:t>
      </w:r>
      <w:r w:rsidRPr="008E20B9" w:rsidR="00F40979">
        <w:rPr>
          <w:sz w:val="20"/>
          <w:szCs w:val="20"/>
        </w:rPr>
        <w:t>331.</w:t>
      </w:r>
    </w:p>
  </w:footnote>
  <w:footnote w:id="240">
    <w:p w:rsidRPr="008E20B9" w:rsidR="008A34F9" w:rsidRDefault="008A34F9" w14:paraId="4BFB6BBC" w14:textId="166708D5">
      <w:pPr>
        <w:pStyle w:val="FootnoteText"/>
      </w:pPr>
      <w:r w:rsidRPr="008E20B9">
        <w:rPr>
          <w:rStyle w:val="FootnoteReference"/>
        </w:rPr>
        <w:footnoteRef/>
      </w:r>
      <w:r w:rsidRPr="008E20B9">
        <w:t xml:space="preserve"> Dominic Wilkinson and Julian Savulescu, Ethics, </w:t>
      </w:r>
      <w:r w:rsidRPr="008E20B9">
        <w:rPr>
          <w:i/>
          <w:iCs/>
        </w:rPr>
        <w:t>Conflict and Medical Treatment for Children</w:t>
      </w:r>
      <w:r w:rsidRPr="008E20B9">
        <w:t xml:space="preserve"> (Elsevier 2019) </w:t>
      </w:r>
      <w:r w:rsidRPr="008E20B9" w:rsidR="007A3BD1">
        <w:t>103-104.</w:t>
      </w:r>
    </w:p>
  </w:footnote>
  <w:footnote w:id="241">
    <w:p w:rsidRPr="008E20B9" w:rsidR="004B57F4" w:rsidRDefault="004B57F4" w14:paraId="5989ED25" w14:textId="7B2555AF">
      <w:pPr>
        <w:pStyle w:val="FootnoteText"/>
      </w:pPr>
      <w:r w:rsidRPr="008E20B9">
        <w:rPr>
          <w:rStyle w:val="FootnoteReference"/>
        </w:rPr>
        <w:footnoteRef/>
      </w:r>
      <w:r w:rsidRPr="008E20B9">
        <w:t xml:space="preserve"> </w:t>
      </w:r>
      <w:r w:rsidR="004702F9">
        <w:t xml:space="preserve">ibid </w:t>
      </w:r>
      <w:r w:rsidRPr="008E20B9" w:rsidR="00F4366A">
        <w:t>104.</w:t>
      </w:r>
    </w:p>
  </w:footnote>
  <w:footnote w:id="242">
    <w:p w:rsidRPr="008E20B9" w:rsidR="00587FAE" w:rsidRDefault="00587FAE" w14:paraId="054DBF1A" w14:textId="55C1656E">
      <w:pPr>
        <w:pStyle w:val="FootnoteText"/>
      </w:pPr>
      <w:r w:rsidRPr="008E20B9">
        <w:rPr>
          <w:rStyle w:val="FootnoteReference"/>
        </w:rPr>
        <w:footnoteRef/>
      </w:r>
      <w:r w:rsidRPr="008E20B9">
        <w:t xml:space="preserve"> Austin</w:t>
      </w:r>
      <w:r w:rsidR="004702F9">
        <w:t xml:space="preserve"> (n11)</w:t>
      </w:r>
      <w:r w:rsidRPr="008E20B9">
        <w:t xml:space="preserve"> </w:t>
      </w:r>
      <w:r w:rsidRPr="008E20B9" w:rsidR="002710C1">
        <w:t>para</w:t>
      </w:r>
      <w:r w:rsidRPr="008E20B9" w:rsidR="00873BD9">
        <w:t>s 9-10.</w:t>
      </w:r>
    </w:p>
  </w:footnote>
  <w:footnote w:id="243">
    <w:p w:rsidRPr="008E20B9" w:rsidR="00873BD9" w:rsidRDefault="00873BD9" w14:paraId="047C8EEF" w14:textId="10F78CFC">
      <w:pPr>
        <w:pStyle w:val="FootnoteText"/>
      </w:pPr>
      <w:r w:rsidRPr="008E20B9">
        <w:rPr>
          <w:rStyle w:val="FootnoteReference"/>
        </w:rPr>
        <w:footnoteRef/>
      </w:r>
      <w:r w:rsidRPr="008E20B9">
        <w:t xml:space="preserve"> </w:t>
      </w:r>
      <w:r w:rsidRPr="008E20B9" w:rsidR="003D25F7">
        <w:t>J Brierley,</w:t>
      </w:r>
      <w:r w:rsidRPr="008E20B9" w:rsidR="002825A1">
        <w:t xml:space="preserve"> L Linthicum and A Petros, ‘Should religious beliefs be allowed to stonewall a secular approach to withdrawing and withholding treatment in children?’ (2013) 39(9) J Med Ethics 573.</w:t>
      </w:r>
    </w:p>
  </w:footnote>
  <w:footnote w:id="244">
    <w:p w:rsidRPr="008E20B9" w:rsidR="00AC6731" w:rsidP="003B22BD" w:rsidRDefault="00AC6731" w14:paraId="26584EED" w14:textId="285CDC27">
      <w:pPr>
        <w:rPr>
          <w:sz w:val="20"/>
          <w:szCs w:val="20"/>
        </w:rPr>
      </w:pPr>
      <w:r w:rsidRPr="008E20B9">
        <w:rPr>
          <w:rStyle w:val="FootnoteReference"/>
          <w:sz w:val="20"/>
          <w:szCs w:val="20"/>
        </w:rPr>
        <w:footnoteRef/>
      </w:r>
      <w:r w:rsidRPr="008E20B9">
        <w:rPr>
          <w:sz w:val="20"/>
          <w:szCs w:val="20"/>
        </w:rPr>
        <w:t xml:space="preserve"> </w:t>
      </w:r>
      <w:r w:rsidRPr="008E20B9" w:rsidR="003B22BD">
        <w:rPr>
          <w:sz w:val="20"/>
          <w:szCs w:val="20"/>
        </w:rPr>
        <w:t>Archambault-Grenier</w:t>
      </w:r>
      <w:r w:rsidR="00086F6D">
        <w:rPr>
          <w:sz w:val="20"/>
          <w:szCs w:val="20"/>
        </w:rPr>
        <w:t xml:space="preserve"> (n17)</w:t>
      </w:r>
      <w:r w:rsidRPr="008E20B9" w:rsidR="003B22BD">
        <w:rPr>
          <w:sz w:val="20"/>
          <w:szCs w:val="20"/>
        </w:rPr>
        <w:t xml:space="preserve"> 26</w:t>
      </w:r>
      <w:r w:rsidR="00E20794">
        <w:rPr>
          <w:sz w:val="20"/>
          <w:szCs w:val="20"/>
        </w:rPr>
        <w:t>6</w:t>
      </w:r>
      <w:r w:rsidRPr="008E20B9" w:rsidR="003B22BD">
        <w:rPr>
          <w:sz w:val="20"/>
          <w:szCs w:val="20"/>
        </w:rPr>
        <w:t>.</w:t>
      </w:r>
    </w:p>
  </w:footnote>
  <w:footnote w:id="245">
    <w:p w:rsidRPr="008E20B9" w:rsidR="00152AB4" w:rsidRDefault="00152AB4" w14:paraId="7194C36A" w14:textId="46406F8F">
      <w:pPr>
        <w:pStyle w:val="FootnoteText"/>
      </w:pPr>
      <w:r w:rsidRPr="008E20B9">
        <w:rPr>
          <w:rStyle w:val="FootnoteReference"/>
        </w:rPr>
        <w:footnoteRef/>
      </w:r>
      <w:r w:rsidRPr="008E20B9">
        <w:t xml:space="preserve"> Mooney-Doyle </w:t>
      </w:r>
      <w:r w:rsidR="00086F6D">
        <w:t xml:space="preserve">(n48) </w:t>
      </w:r>
      <w:r w:rsidRPr="008E20B9" w:rsidR="00730716">
        <w:t>827.</w:t>
      </w:r>
    </w:p>
  </w:footnote>
  <w:footnote w:id="246">
    <w:p w:rsidRPr="008E20B9" w:rsidR="003C3CD9" w:rsidRDefault="003C3CD9" w14:paraId="1ECAE995" w14:textId="59002A8B">
      <w:pPr>
        <w:pStyle w:val="FootnoteText"/>
      </w:pPr>
      <w:r w:rsidRPr="008E20B9">
        <w:rPr>
          <w:rStyle w:val="FootnoteReference"/>
        </w:rPr>
        <w:footnoteRef/>
      </w:r>
      <w:r w:rsidRPr="008E20B9">
        <w:t xml:space="preserve"> </w:t>
      </w:r>
      <w:r w:rsidRPr="008E20B9" w:rsidR="00786B63">
        <w:t xml:space="preserve"> Auckland </w:t>
      </w:r>
      <w:r w:rsidR="00086F6D">
        <w:t>(n8</w:t>
      </w:r>
      <w:r w:rsidR="00FA5FE6">
        <w:t>8</w:t>
      </w:r>
      <w:r w:rsidR="00086F6D">
        <w:t xml:space="preserve">) </w:t>
      </w:r>
      <w:r w:rsidRPr="008E20B9" w:rsidR="00E862EF">
        <w:t>663.</w:t>
      </w:r>
    </w:p>
  </w:footnote>
  <w:footnote w:id="247">
    <w:p w:rsidRPr="006E5E5E" w:rsidR="00DB31CC" w:rsidP="006E5E5E" w:rsidRDefault="00DB31CC" w14:paraId="412382FE" w14:textId="064B32EF">
      <w:pPr>
        <w:rPr>
          <w:sz w:val="20"/>
          <w:szCs w:val="20"/>
        </w:rPr>
      </w:pPr>
      <w:r w:rsidRPr="008E20B9">
        <w:rPr>
          <w:rStyle w:val="FootnoteReference"/>
          <w:sz w:val="20"/>
          <w:szCs w:val="20"/>
        </w:rPr>
        <w:footnoteRef/>
      </w:r>
      <w:r w:rsidRPr="008E20B9">
        <w:rPr>
          <w:sz w:val="20"/>
          <w:szCs w:val="20"/>
        </w:rPr>
        <w:t xml:space="preserve"> Wilkinson </w:t>
      </w:r>
      <w:r w:rsidR="00086F6D">
        <w:rPr>
          <w:sz w:val="20"/>
          <w:szCs w:val="20"/>
        </w:rPr>
        <w:t>(n23</w:t>
      </w:r>
      <w:r w:rsidR="00846198">
        <w:rPr>
          <w:sz w:val="20"/>
          <w:szCs w:val="20"/>
        </w:rPr>
        <w:t>9</w:t>
      </w:r>
      <w:r w:rsidR="00086F6D">
        <w:rPr>
          <w:sz w:val="20"/>
          <w:szCs w:val="20"/>
        </w:rPr>
        <w:t xml:space="preserve">) </w:t>
      </w:r>
      <w:r w:rsidRPr="008E20B9" w:rsidR="006E5E5E">
        <w:rPr>
          <w:sz w:val="20"/>
          <w:szCs w:val="20"/>
        </w:rPr>
        <w:t>146.</w:t>
      </w:r>
    </w:p>
  </w:footnote>
  <w:footnote w:id="248">
    <w:p w:rsidR="00CD6B21" w:rsidRDefault="00CD6B21" w14:paraId="1CC6C152" w14:textId="3FCED624">
      <w:pPr>
        <w:pStyle w:val="FootnoteText"/>
      </w:pPr>
      <w:r>
        <w:rPr>
          <w:rStyle w:val="FootnoteReference"/>
        </w:rPr>
        <w:footnoteRef/>
      </w:r>
      <w:r>
        <w:t xml:space="preserve"> </w:t>
      </w:r>
      <w:r w:rsidR="00086F6D">
        <w:t xml:space="preserve">ibid </w:t>
      </w:r>
      <w:r w:rsidR="00C3058F">
        <w:t>106.</w:t>
      </w:r>
    </w:p>
  </w:footnote>
  <w:footnote w:id="249">
    <w:p w:rsidR="000310DE" w:rsidRDefault="000310DE" w14:paraId="7FF1082D" w14:textId="15DAA06C">
      <w:pPr>
        <w:pStyle w:val="FootnoteText"/>
      </w:pPr>
      <w:r>
        <w:rPr>
          <w:rStyle w:val="FootnoteReference"/>
        </w:rPr>
        <w:footnoteRef/>
      </w:r>
      <w:r>
        <w:t xml:space="preserve"> </w:t>
      </w:r>
      <w:r w:rsidR="002E376B">
        <w:t>i</w:t>
      </w:r>
      <w:r w:rsidR="00086F6D">
        <w:t>bid</w:t>
      </w:r>
      <w:r w:rsidR="002E376B">
        <w:t>.</w:t>
      </w:r>
    </w:p>
  </w:footnote>
  <w:footnote w:id="250">
    <w:p w:rsidR="00F1465A" w:rsidRDefault="00F1465A" w14:paraId="5000988C" w14:textId="2E085CA7">
      <w:pPr>
        <w:pStyle w:val="FootnoteText"/>
      </w:pPr>
      <w:r>
        <w:rPr>
          <w:rStyle w:val="FootnoteReference"/>
        </w:rPr>
        <w:footnoteRef/>
      </w:r>
      <w:r>
        <w:t xml:space="preserve"> </w:t>
      </w:r>
      <w:r w:rsidR="002E376B">
        <w:t>i</w:t>
      </w:r>
      <w:r w:rsidR="00086F6D">
        <w:t>bid</w:t>
      </w:r>
      <w:r w:rsidR="002E376B">
        <w:t>.</w:t>
      </w:r>
    </w:p>
  </w:footnote>
  <w:footnote w:id="251">
    <w:p w:rsidRPr="001964E6" w:rsidR="00A50C21" w:rsidP="001964E6" w:rsidRDefault="00A50C21" w14:paraId="413CF780" w14:textId="6FF18C6A">
      <w:pPr>
        <w:rPr>
          <w:rFonts w:cstheme="minorHAnsi"/>
          <w:sz w:val="20"/>
          <w:szCs w:val="20"/>
        </w:rPr>
      </w:pPr>
      <w:r w:rsidRPr="001964E6">
        <w:rPr>
          <w:rStyle w:val="FootnoteReference"/>
          <w:sz w:val="20"/>
          <w:szCs w:val="20"/>
        </w:rPr>
        <w:footnoteRef/>
      </w:r>
      <w:r w:rsidRPr="001964E6">
        <w:rPr>
          <w:sz w:val="20"/>
          <w:szCs w:val="20"/>
        </w:rPr>
        <w:t xml:space="preserve"> </w:t>
      </w:r>
      <w:r w:rsidRPr="001964E6" w:rsidR="001964E6">
        <w:rPr>
          <w:rFonts w:cstheme="minorHAnsi"/>
          <w:sz w:val="20"/>
          <w:szCs w:val="20"/>
        </w:rPr>
        <w:t xml:space="preserve">Birchley </w:t>
      </w:r>
      <w:r w:rsidR="00086F6D">
        <w:rPr>
          <w:rFonts w:cstheme="minorHAnsi"/>
          <w:sz w:val="20"/>
          <w:szCs w:val="20"/>
        </w:rPr>
        <w:t>(n</w:t>
      </w:r>
      <w:r w:rsidR="00293CB6">
        <w:rPr>
          <w:rFonts w:cstheme="minorHAnsi"/>
          <w:sz w:val="20"/>
          <w:szCs w:val="20"/>
        </w:rPr>
        <w:t>10</w:t>
      </w:r>
      <w:r w:rsidR="00846198">
        <w:rPr>
          <w:rFonts w:cstheme="minorHAnsi"/>
          <w:sz w:val="20"/>
          <w:szCs w:val="20"/>
        </w:rPr>
        <w:t>8</w:t>
      </w:r>
      <w:r w:rsidR="00293CB6">
        <w:rPr>
          <w:rFonts w:cstheme="minorHAnsi"/>
          <w:sz w:val="20"/>
          <w:szCs w:val="20"/>
        </w:rPr>
        <w:t xml:space="preserve">) </w:t>
      </w:r>
      <w:r w:rsidRPr="001964E6" w:rsidR="001964E6">
        <w:rPr>
          <w:rFonts w:cstheme="minorHAnsi"/>
          <w:sz w:val="20"/>
          <w:szCs w:val="20"/>
        </w:rPr>
        <w:t>3.</w:t>
      </w:r>
    </w:p>
  </w:footnote>
  <w:footnote w:id="252">
    <w:p w:rsidRPr="00763E94" w:rsidR="008E65F2" w:rsidP="00F03CE3" w:rsidRDefault="008E65F2" w14:paraId="465A49E5" w14:textId="25999871">
      <w:pPr>
        <w:rPr>
          <w:sz w:val="20"/>
          <w:szCs w:val="20"/>
        </w:rPr>
      </w:pPr>
      <w:r w:rsidRPr="00763E94">
        <w:rPr>
          <w:rStyle w:val="FootnoteReference"/>
        </w:rPr>
        <w:footnoteRef/>
      </w:r>
      <w:r w:rsidRPr="00763E94">
        <w:t xml:space="preserve"> </w:t>
      </w:r>
      <w:r w:rsidRPr="00763E94" w:rsidR="0052499C">
        <w:rPr>
          <w:sz w:val="20"/>
          <w:szCs w:val="20"/>
        </w:rPr>
        <w:t xml:space="preserve"> Bateman</w:t>
      </w:r>
      <w:r w:rsidRPr="00763E94" w:rsidR="00293CB6">
        <w:rPr>
          <w:sz w:val="20"/>
          <w:szCs w:val="20"/>
        </w:rPr>
        <w:t xml:space="preserve"> (n</w:t>
      </w:r>
      <w:r w:rsidRPr="00763E94" w:rsidR="00617E1A">
        <w:rPr>
          <w:sz w:val="20"/>
          <w:szCs w:val="20"/>
        </w:rPr>
        <w:t>1</w:t>
      </w:r>
      <w:r w:rsidRPr="00763E94" w:rsidR="00846198">
        <w:rPr>
          <w:sz w:val="20"/>
          <w:szCs w:val="20"/>
        </w:rPr>
        <w:t>10</w:t>
      </w:r>
      <w:r w:rsidRPr="00763E94" w:rsidR="00617E1A">
        <w:rPr>
          <w:sz w:val="20"/>
          <w:szCs w:val="20"/>
        </w:rPr>
        <w:t xml:space="preserve">) </w:t>
      </w:r>
      <w:r w:rsidRPr="00763E94" w:rsidR="0052499C">
        <w:rPr>
          <w:sz w:val="20"/>
          <w:szCs w:val="20"/>
        </w:rPr>
        <w:t>903.</w:t>
      </w:r>
      <w:r w:rsidRPr="00763E94" w:rsidR="00636320">
        <w:rPr>
          <w:sz w:val="20"/>
          <w:szCs w:val="20"/>
        </w:rPr>
        <w:t xml:space="preserve"> Note</w:t>
      </w:r>
      <w:r w:rsidRPr="00763E94" w:rsidR="00EC4F23">
        <w:rPr>
          <w:sz w:val="20"/>
          <w:szCs w:val="20"/>
        </w:rPr>
        <w:t xml:space="preserve"> -</w:t>
      </w:r>
      <w:r w:rsidRPr="00763E94" w:rsidR="00636320">
        <w:rPr>
          <w:sz w:val="20"/>
          <w:szCs w:val="20"/>
        </w:rPr>
        <w:t xml:space="preserve"> the authors do not provide a definition of gender, nor do they </w:t>
      </w:r>
      <w:r w:rsidRPr="00763E94" w:rsidR="001F5946">
        <w:rPr>
          <w:sz w:val="20"/>
          <w:szCs w:val="20"/>
        </w:rPr>
        <w:t xml:space="preserve">say how they determined the gender of the participants. </w:t>
      </w:r>
      <w:r w:rsidRPr="00763E94" w:rsidR="00F20BC2">
        <w:rPr>
          <w:sz w:val="20"/>
          <w:szCs w:val="20"/>
        </w:rPr>
        <w:t>There is no reference to non-binary gender</w:t>
      </w:r>
      <w:r w:rsidRPr="00763E94" w:rsidR="00EC4F23">
        <w:rPr>
          <w:sz w:val="20"/>
          <w:szCs w:val="20"/>
        </w:rPr>
        <w:t>.</w:t>
      </w:r>
    </w:p>
  </w:footnote>
  <w:footnote w:id="253">
    <w:p w:rsidR="00F03CE3" w:rsidRDefault="00F03CE3" w14:paraId="429AFB0F" w14:textId="70919328">
      <w:pPr>
        <w:pStyle w:val="FootnoteText"/>
      </w:pPr>
      <w:r>
        <w:rPr>
          <w:rStyle w:val="FootnoteReference"/>
        </w:rPr>
        <w:footnoteRef/>
      </w:r>
      <w:r>
        <w:t xml:space="preserve"> </w:t>
      </w:r>
      <w:r w:rsidR="00617E1A">
        <w:t xml:space="preserve">ibid </w:t>
      </w:r>
      <w:r w:rsidR="00025927">
        <w:t>905.</w:t>
      </w:r>
    </w:p>
  </w:footnote>
  <w:footnote w:id="254">
    <w:p w:rsidR="00E0157A" w:rsidRDefault="00E0157A" w14:paraId="2BD55605" w14:textId="59A1C74A">
      <w:pPr>
        <w:pStyle w:val="FootnoteText"/>
      </w:pPr>
      <w:r>
        <w:rPr>
          <w:rStyle w:val="FootnoteReference"/>
        </w:rPr>
        <w:footnoteRef/>
      </w:r>
      <w:r>
        <w:t xml:space="preserve"> </w:t>
      </w:r>
      <w:r w:rsidR="00617E1A">
        <w:t xml:space="preserve">ibid </w:t>
      </w:r>
      <w:r w:rsidR="00781751">
        <w:t>906.</w:t>
      </w:r>
    </w:p>
  </w:footnote>
  <w:footnote w:id="255">
    <w:p w:rsidR="00DC78FB" w:rsidRDefault="00DC78FB" w14:paraId="7F1AE31E" w14:textId="2CA4E66B">
      <w:pPr>
        <w:pStyle w:val="FootnoteText"/>
      </w:pPr>
      <w:r>
        <w:rPr>
          <w:rStyle w:val="FootnoteReference"/>
        </w:rPr>
        <w:footnoteRef/>
      </w:r>
      <w:r w:rsidR="00617E1A">
        <w:t xml:space="preserve"> ibid </w:t>
      </w:r>
      <w:r w:rsidR="00B70C9F">
        <w:t>908.</w:t>
      </w:r>
    </w:p>
  </w:footnote>
  <w:footnote w:id="256">
    <w:p w:rsidRPr="00A21F3C" w:rsidR="00F90EDC" w:rsidRDefault="00F90EDC" w14:paraId="17A20A2B" w14:textId="392DB7E1">
      <w:pPr>
        <w:pStyle w:val="FootnoteText"/>
      </w:pPr>
      <w:r>
        <w:rPr>
          <w:rStyle w:val="FootnoteReference"/>
        </w:rPr>
        <w:footnoteRef/>
      </w:r>
      <w:r w:rsidR="00617E1A">
        <w:t xml:space="preserve"> </w:t>
      </w:r>
      <w:r w:rsidRPr="00DC7D9F">
        <w:t>Mooney-Doyle</w:t>
      </w:r>
      <w:r w:rsidR="00617E1A">
        <w:t xml:space="preserve"> (n</w:t>
      </w:r>
      <w:r w:rsidR="007813A0">
        <w:t>48)</w:t>
      </w:r>
      <w:r w:rsidRPr="00DC7D9F">
        <w:t xml:space="preserve"> </w:t>
      </w:r>
      <w:r w:rsidRPr="00A21F3C" w:rsidR="005D22A0">
        <w:t>833.</w:t>
      </w:r>
    </w:p>
  </w:footnote>
  <w:footnote w:id="257">
    <w:p w:rsidRPr="0009171D" w:rsidR="00EA38EB" w:rsidP="0009171D" w:rsidRDefault="00EA38EB" w14:paraId="264C7436" w14:textId="02D6AF8D">
      <w:pPr>
        <w:rPr>
          <w:sz w:val="20"/>
          <w:szCs w:val="20"/>
        </w:rPr>
      </w:pPr>
      <w:r w:rsidRPr="00A21F3C">
        <w:rPr>
          <w:rStyle w:val="FootnoteReference"/>
          <w:sz w:val="20"/>
          <w:szCs w:val="20"/>
        </w:rPr>
        <w:footnoteRef/>
      </w:r>
      <w:r w:rsidRPr="00A21F3C">
        <w:rPr>
          <w:sz w:val="20"/>
          <w:szCs w:val="20"/>
        </w:rPr>
        <w:t xml:space="preserve"> </w:t>
      </w:r>
      <w:r w:rsidRPr="00A21F3C" w:rsidR="002A18B3">
        <w:rPr>
          <w:sz w:val="20"/>
          <w:szCs w:val="20"/>
        </w:rPr>
        <w:t>Caruso Brown</w:t>
      </w:r>
      <w:r w:rsidR="007813A0">
        <w:rPr>
          <w:sz w:val="20"/>
          <w:szCs w:val="20"/>
        </w:rPr>
        <w:t xml:space="preserve"> (n59) </w:t>
      </w:r>
      <w:r w:rsidRPr="00A21F3C" w:rsidR="00A21F3C">
        <w:rPr>
          <w:sz w:val="20"/>
          <w:szCs w:val="20"/>
        </w:rPr>
        <w:t>315.</w:t>
      </w:r>
    </w:p>
  </w:footnote>
  <w:footnote w:id="258">
    <w:p w:rsidRPr="002A2345" w:rsidR="00A06F85" w:rsidP="00AC3273" w:rsidRDefault="00A06F85" w14:paraId="138BEAD7" w14:textId="4F910B04">
      <w:pPr>
        <w:rPr>
          <w:sz w:val="20"/>
          <w:szCs w:val="20"/>
          <w:lang w:val="de-DE"/>
        </w:rPr>
      </w:pPr>
      <w:r w:rsidRPr="00AC3273">
        <w:rPr>
          <w:rStyle w:val="FootnoteReference"/>
          <w:sz w:val="20"/>
          <w:szCs w:val="20"/>
        </w:rPr>
        <w:footnoteRef/>
      </w:r>
      <w:r w:rsidRPr="002A2345">
        <w:rPr>
          <w:sz w:val="20"/>
          <w:szCs w:val="20"/>
          <w:lang w:val="de-DE"/>
        </w:rPr>
        <w:t xml:space="preserve"> </w:t>
      </w:r>
      <w:r w:rsidRPr="002A2345" w:rsidR="008307B8">
        <w:rPr>
          <w:sz w:val="20"/>
          <w:szCs w:val="20"/>
          <w:lang w:val="de-DE"/>
        </w:rPr>
        <w:t xml:space="preserve"> Katz</w:t>
      </w:r>
      <w:r w:rsidRPr="002A2345" w:rsidR="007813A0">
        <w:rPr>
          <w:sz w:val="20"/>
          <w:szCs w:val="20"/>
          <w:lang w:val="de-DE"/>
        </w:rPr>
        <w:t xml:space="preserve"> (n</w:t>
      </w:r>
      <w:r w:rsidRPr="002A2345" w:rsidR="00B644B8">
        <w:rPr>
          <w:sz w:val="20"/>
          <w:szCs w:val="20"/>
          <w:lang w:val="de-DE"/>
        </w:rPr>
        <w:t xml:space="preserve">58) </w:t>
      </w:r>
      <w:r w:rsidRPr="002A2345" w:rsidR="00AC3273">
        <w:rPr>
          <w:sz w:val="20"/>
          <w:szCs w:val="20"/>
          <w:lang w:val="de-DE"/>
        </w:rPr>
        <w:t>1373.</w:t>
      </w:r>
    </w:p>
  </w:footnote>
  <w:footnote w:id="259">
    <w:p w:rsidRPr="002A2345" w:rsidR="002F5C69" w:rsidRDefault="002F5C69" w14:paraId="73C34CCD" w14:textId="2E50F840">
      <w:pPr>
        <w:pStyle w:val="FootnoteText"/>
        <w:rPr>
          <w:sz w:val="24"/>
          <w:szCs w:val="24"/>
          <w:lang w:val="de-DE"/>
        </w:rPr>
      </w:pPr>
      <w:r>
        <w:rPr>
          <w:rStyle w:val="FootnoteReference"/>
        </w:rPr>
        <w:footnoteRef/>
      </w:r>
      <w:r w:rsidRPr="002A2345">
        <w:rPr>
          <w:lang w:val="de-DE"/>
        </w:rPr>
        <w:t xml:space="preserve"> </w:t>
      </w:r>
      <w:r w:rsidRPr="002A2345" w:rsidR="00F76B4B">
        <w:rPr>
          <w:lang w:val="de-DE"/>
        </w:rPr>
        <w:t>Wilkinson</w:t>
      </w:r>
      <w:r w:rsidRPr="002A2345" w:rsidR="00B644B8">
        <w:rPr>
          <w:lang w:val="de-DE"/>
        </w:rPr>
        <w:t xml:space="preserve"> (n23</w:t>
      </w:r>
      <w:r w:rsidRPr="002A2345" w:rsidR="00846198">
        <w:rPr>
          <w:lang w:val="de-DE"/>
        </w:rPr>
        <w:t>9</w:t>
      </w:r>
      <w:r w:rsidRPr="002A2345" w:rsidR="00B644B8">
        <w:rPr>
          <w:lang w:val="de-DE"/>
        </w:rPr>
        <w:t xml:space="preserve">) </w:t>
      </w:r>
      <w:r w:rsidRPr="002A2345" w:rsidR="00F76B4B">
        <w:rPr>
          <w:lang w:val="de-DE"/>
        </w:rPr>
        <w:t>127.</w:t>
      </w:r>
    </w:p>
  </w:footnote>
  <w:footnote w:id="260">
    <w:p w:rsidRPr="002A2345" w:rsidR="00AC6731" w:rsidRDefault="00AC6731" w14:paraId="1D3B7645" w14:textId="284DC8BF">
      <w:pPr>
        <w:pStyle w:val="FootnoteText"/>
        <w:rPr>
          <w:lang w:val="de-DE"/>
        </w:rPr>
      </w:pPr>
      <w:r>
        <w:rPr>
          <w:rStyle w:val="FootnoteReference"/>
        </w:rPr>
        <w:footnoteRef/>
      </w:r>
      <w:r w:rsidRPr="002A2345">
        <w:rPr>
          <w:lang w:val="de-DE"/>
        </w:rPr>
        <w:t xml:space="preserve"> </w:t>
      </w:r>
      <w:r w:rsidRPr="002A2345" w:rsidR="003B22BD">
        <w:rPr>
          <w:lang w:val="de-DE"/>
        </w:rPr>
        <w:t>Archambault-Grenier</w:t>
      </w:r>
      <w:r w:rsidRPr="002A2345" w:rsidR="00B644B8">
        <w:rPr>
          <w:lang w:val="de-DE"/>
        </w:rPr>
        <w:t xml:space="preserve"> (n17) </w:t>
      </w:r>
      <w:r w:rsidRPr="002A2345" w:rsidR="00430AA0">
        <w:rPr>
          <w:lang w:val="de-DE"/>
        </w:rPr>
        <w:t>266.</w:t>
      </w:r>
    </w:p>
  </w:footnote>
  <w:footnote w:id="261">
    <w:p w:rsidRPr="005E49F5" w:rsidR="006A09F1" w:rsidP="005E49F5" w:rsidRDefault="006A09F1" w14:paraId="4FE3709D" w14:textId="7174A25F">
      <w:pPr>
        <w:rPr>
          <w:sz w:val="20"/>
          <w:szCs w:val="20"/>
        </w:rPr>
      </w:pPr>
      <w:r w:rsidRPr="005E49F5">
        <w:rPr>
          <w:rStyle w:val="FootnoteReference"/>
          <w:sz w:val="20"/>
          <w:szCs w:val="20"/>
        </w:rPr>
        <w:footnoteRef/>
      </w:r>
      <w:r w:rsidRPr="005E49F5" w:rsidR="005E49F5">
        <w:rPr>
          <w:sz w:val="20"/>
          <w:szCs w:val="20"/>
        </w:rPr>
        <w:t xml:space="preserve"> Bell </w:t>
      </w:r>
      <w:r w:rsidR="005A4BA3">
        <w:rPr>
          <w:sz w:val="20"/>
          <w:szCs w:val="20"/>
        </w:rPr>
        <w:t>(n22</w:t>
      </w:r>
      <w:r w:rsidR="00846198">
        <w:rPr>
          <w:sz w:val="20"/>
          <w:szCs w:val="20"/>
        </w:rPr>
        <w:t>7</w:t>
      </w:r>
      <w:r w:rsidR="005A4BA3">
        <w:rPr>
          <w:sz w:val="20"/>
          <w:szCs w:val="20"/>
        </w:rPr>
        <w:t>)</w:t>
      </w:r>
      <w:r w:rsidR="00FA5FE6">
        <w:rPr>
          <w:sz w:val="20"/>
          <w:szCs w:val="20"/>
        </w:rPr>
        <w:t xml:space="preserve"> </w:t>
      </w:r>
      <w:r w:rsidRPr="005E49F5" w:rsidR="005E49F5">
        <w:rPr>
          <w:sz w:val="20"/>
          <w:szCs w:val="20"/>
        </w:rPr>
        <w:t>A1-A537.</w:t>
      </w:r>
    </w:p>
  </w:footnote>
  <w:footnote w:id="262">
    <w:p w:rsidR="00FA424D" w:rsidP="00FA424D" w:rsidRDefault="00FA424D" w14:paraId="6DB1C6FE" w14:textId="142DD526">
      <w:pPr>
        <w:pStyle w:val="FootnoteText"/>
      </w:pPr>
      <w:r>
        <w:rPr>
          <w:rStyle w:val="FootnoteReference"/>
        </w:rPr>
        <w:footnoteRef/>
      </w:r>
      <w:r>
        <w:t xml:space="preserve"> </w:t>
      </w:r>
      <w:r w:rsidRPr="00F40979">
        <w:t xml:space="preserve">Forbat </w:t>
      </w:r>
      <w:r w:rsidR="005A4BA3">
        <w:t>(n</w:t>
      </w:r>
      <w:r w:rsidR="00333031">
        <w:t xml:space="preserve">43) </w:t>
      </w:r>
      <w:r>
        <w:t>331.</w:t>
      </w:r>
    </w:p>
  </w:footnote>
  <w:footnote w:id="263">
    <w:p w:rsidR="00DC58EE" w:rsidRDefault="00DC58EE" w14:paraId="070946BC" w14:textId="0D673920">
      <w:pPr>
        <w:pStyle w:val="FootnoteText"/>
      </w:pPr>
      <w:r>
        <w:rPr>
          <w:rStyle w:val="FootnoteReference"/>
        </w:rPr>
        <w:footnoteRef/>
      </w:r>
      <w:r>
        <w:t xml:space="preserve"> </w:t>
      </w:r>
      <w:r w:rsidRPr="006E5E5E">
        <w:t>Birchley</w:t>
      </w:r>
      <w:r w:rsidR="00333031">
        <w:t xml:space="preserve"> (n10</w:t>
      </w:r>
      <w:r w:rsidR="00846198">
        <w:t>8</w:t>
      </w:r>
      <w:r w:rsidR="00333031">
        <w:t xml:space="preserve">) </w:t>
      </w:r>
      <w:r w:rsidRPr="006E5E5E">
        <w:t>[e001589]</w:t>
      </w:r>
    </w:p>
  </w:footnote>
  <w:footnote w:id="264">
    <w:p w:rsidR="002E7146" w:rsidRDefault="002E7146" w14:paraId="16BDCC7E" w14:textId="3E3D963A">
      <w:pPr>
        <w:pStyle w:val="FootnoteText"/>
      </w:pPr>
      <w:r>
        <w:rPr>
          <w:rStyle w:val="FootnoteReference"/>
        </w:rPr>
        <w:footnoteRef/>
      </w:r>
      <w:r>
        <w:t xml:space="preserve"> </w:t>
      </w:r>
      <w:r w:rsidR="00D011EB">
        <w:t>i</w:t>
      </w:r>
      <w:r w:rsidR="00333031">
        <w:t>bid</w:t>
      </w:r>
      <w:r w:rsidR="00D011EB">
        <w:t>.</w:t>
      </w:r>
    </w:p>
  </w:footnote>
  <w:footnote w:id="265">
    <w:p w:rsidR="00FE0745" w:rsidRDefault="00FE0745" w14:paraId="7C93B154" w14:textId="4ECD93EE">
      <w:pPr>
        <w:pStyle w:val="FootnoteText"/>
      </w:pPr>
      <w:r>
        <w:rPr>
          <w:rStyle w:val="FootnoteReference"/>
        </w:rPr>
        <w:footnoteRef/>
      </w:r>
      <w:r>
        <w:t xml:space="preserve"> </w:t>
      </w:r>
      <w:r w:rsidRPr="00E6246B">
        <w:t>Macintosh</w:t>
      </w:r>
      <w:r w:rsidR="00333031">
        <w:t xml:space="preserve"> (n</w:t>
      </w:r>
      <w:r w:rsidR="00E96AC3">
        <w:t>17</w:t>
      </w:r>
      <w:r w:rsidR="00846198">
        <w:t>5</w:t>
      </w:r>
      <w:r w:rsidR="00E96AC3">
        <w:t>)</w:t>
      </w:r>
      <w:r w:rsidR="00EE76B4">
        <w:t xml:space="preserve"> 3. </w:t>
      </w:r>
    </w:p>
  </w:footnote>
  <w:footnote w:id="266">
    <w:p w:rsidR="00921D93" w:rsidRDefault="00921D93" w14:paraId="726BEF98" w14:textId="03C67D8D">
      <w:pPr>
        <w:pStyle w:val="FootnoteText"/>
      </w:pPr>
      <w:r>
        <w:rPr>
          <w:rStyle w:val="FootnoteReference"/>
        </w:rPr>
        <w:footnoteRef/>
      </w:r>
      <w:r>
        <w:t xml:space="preserve"> </w:t>
      </w:r>
      <w:r w:rsidRPr="006E5E5E">
        <w:t>Wilkinson</w:t>
      </w:r>
      <w:r w:rsidR="002B7DF7">
        <w:t xml:space="preserve"> </w:t>
      </w:r>
      <w:r w:rsidR="00E96AC3">
        <w:t>(n</w:t>
      </w:r>
      <w:r w:rsidR="0083403C">
        <w:t>23</w:t>
      </w:r>
      <w:r w:rsidR="00846198">
        <w:t>9</w:t>
      </w:r>
      <w:r w:rsidR="00E96AC3">
        <w:t>) 127</w:t>
      </w:r>
      <w:r>
        <w:t>.</w:t>
      </w:r>
    </w:p>
  </w:footnote>
  <w:footnote w:id="267">
    <w:p w:rsidR="00DE165F" w:rsidRDefault="00DE165F" w14:paraId="35110BD7" w14:textId="3EFF79BA">
      <w:pPr>
        <w:pStyle w:val="FootnoteText"/>
      </w:pPr>
      <w:r>
        <w:rPr>
          <w:rStyle w:val="FootnoteReference"/>
        </w:rPr>
        <w:footnoteRef/>
      </w:r>
      <w:r>
        <w:t xml:space="preserve"> </w:t>
      </w:r>
      <w:r w:rsidRPr="00E6246B">
        <w:t xml:space="preserve"> Macintosh</w:t>
      </w:r>
      <w:r w:rsidR="0083403C">
        <w:t xml:space="preserve"> (n17</w:t>
      </w:r>
      <w:r w:rsidR="00846198">
        <w:t>5</w:t>
      </w:r>
      <w:r w:rsidR="0083403C">
        <w:t xml:space="preserve">) </w:t>
      </w:r>
      <w:r w:rsidR="00052A4E">
        <w:t>3.</w:t>
      </w:r>
    </w:p>
  </w:footnote>
  <w:footnote w:id="268">
    <w:p w:rsidR="00257CCB" w:rsidRDefault="00257CCB" w14:paraId="4A0ABFB8" w14:textId="3BF8CA87">
      <w:pPr>
        <w:pStyle w:val="FootnoteText"/>
      </w:pPr>
      <w:r>
        <w:rPr>
          <w:rStyle w:val="FootnoteReference"/>
        </w:rPr>
        <w:footnoteRef/>
      </w:r>
      <w:r>
        <w:t xml:space="preserve"> </w:t>
      </w:r>
      <w:r w:rsidR="002B7DF7">
        <w:t>i</w:t>
      </w:r>
      <w:r w:rsidR="0083403C">
        <w:t>bid</w:t>
      </w:r>
      <w:r w:rsidR="002B7DF7">
        <w:t>.</w:t>
      </w:r>
    </w:p>
  </w:footnote>
  <w:footnote w:id="269">
    <w:p w:rsidRPr="002A2345" w:rsidR="007D1FF1" w:rsidP="003733CE" w:rsidRDefault="007D1FF1" w14:paraId="5BA6D4B7" w14:textId="2703760B">
      <w:pPr>
        <w:rPr>
          <w:sz w:val="24"/>
          <w:szCs w:val="24"/>
          <w:lang w:val="it-IT"/>
        </w:rPr>
      </w:pPr>
      <w:r>
        <w:rPr>
          <w:rStyle w:val="FootnoteReference"/>
        </w:rPr>
        <w:footnoteRef/>
      </w:r>
      <w:r w:rsidRPr="002A2345" w:rsidR="003733CE">
        <w:rPr>
          <w:lang w:val="it-IT"/>
        </w:rPr>
        <w:t xml:space="preserve"> </w:t>
      </w:r>
      <w:r w:rsidRPr="002A2345" w:rsidR="003733CE">
        <w:rPr>
          <w:sz w:val="20"/>
          <w:szCs w:val="20"/>
          <w:lang w:val="it-IT"/>
        </w:rPr>
        <w:t>Wilkinson</w:t>
      </w:r>
      <w:r w:rsidRPr="002A2345" w:rsidR="0049483F">
        <w:rPr>
          <w:sz w:val="20"/>
          <w:szCs w:val="20"/>
          <w:lang w:val="it-IT"/>
        </w:rPr>
        <w:t xml:space="preserve"> (n19</w:t>
      </w:r>
      <w:r w:rsidRPr="002A2345" w:rsidR="00F32219">
        <w:rPr>
          <w:sz w:val="20"/>
          <w:szCs w:val="20"/>
          <w:lang w:val="it-IT"/>
        </w:rPr>
        <w:t>2</w:t>
      </w:r>
      <w:r w:rsidRPr="002A2345" w:rsidR="0049483F">
        <w:rPr>
          <w:sz w:val="20"/>
          <w:szCs w:val="20"/>
          <w:lang w:val="it-IT"/>
        </w:rPr>
        <w:t xml:space="preserve">) </w:t>
      </w:r>
      <w:r w:rsidRPr="002A2345" w:rsidR="003733CE">
        <w:rPr>
          <w:sz w:val="20"/>
          <w:szCs w:val="20"/>
          <w:lang w:val="it-IT"/>
        </w:rPr>
        <w:t>o2000</w:t>
      </w:r>
      <w:r w:rsidRPr="002A2345" w:rsidR="002B7DF7">
        <w:rPr>
          <w:sz w:val="20"/>
          <w:szCs w:val="20"/>
          <w:lang w:val="it-IT"/>
        </w:rPr>
        <w:t>.</w:t>
      </w:r>
    </w:p>
  </w:footnote>
  <w:footnote w:id="270">
    <w:p w:rsidRPr="002A2345" w:rsidR="00DD1557" w:rsidP="00DD1557" w:rsidRDefault="00DD1557" w14:paraId="319D4CD8" w14:textId="4FCA704B">
      <w:pPr>
        <w:rPr>
          <w:sz w:val="20"/>
          <w:szCs w:val="20"/>
          <w:lang w:val="it-IT"/>
        </w:rPr>
      </w:pPr>
      <w:r w:rsidRPr="00E6246B">
        <w:rPr>
          <w:rStyle w:val="FootnoteReference"/>
          <w:sz w:val="20"/>
          <w:szCs w:val="20"/>
        </w:rPr>
        <w:footnoteRef/>
      </w:r>
      <w:r w:rsidRPr="002A2345">
        <w:rPr>
          <w:sz w:val="20"/>
          <w:szCs w:val="20"/>
          <w:lang w:val="it-IT"/>
        </w:rPr>
        <w:t xml:space="preserve"> Macintosh</w:t>
      </w:r>
      <w:r w:rsidRPr="002A2345" w:rsidR="0049483F">
        <w:rPr>
          <w:sz w:val="20"/>
          <w:szCs w:val="20"/>
          <w:lang w:val="it-IT"/>
        </w:rPr>
        <w:t xml:space="preserve"> (n17</w:t>
      </w:r>
      <w:r w:rsidRPr="002A2345" w:rsidR="00F32219">
        <w:rPr>
          <w:sz w:val="20"/>
          <w:szCs w:val="20"/>
          <w:lang w:val="it-IT"/>
        </w:rPr>
        <w:t>5</w:t>
      </w:r>
      <w:r w:rsidRPr="002A2345" w:rsidR="0049483F">
        <w:rPr>
          <w:sz w:val="20"/>
          <w:szCs w:val="20"/>
          <w:lang w:val="it-IT"/>
        </w:rPr>
        <w:t>)</w:t>
      </w:r>
      <w:r w:rsidRPr="002A2345" w:rsidR="002B7DF7">
        <w:rPr>
          <w:sz w:val="20"/>
          <w:szCs w:val="20"/>
          <w:lang w:val="it-IT"/>
        </w:rPr>
        <w:t xml:space="preserve"> </w:t>
      </w:r>
      <w:r w:rsidRPr="002A2345">
        <w:rPr>
          <w:sz w:val="20"/>
          <w:szCs w:val="20"/>
          <w:lang w:val="it-IT"/>
        </w:rPr>
        <w:t>3.</w:t>
      </w:r>
    </w:p>
  </w:footnote>
  <w:footnote w:id="271">
    <w:p w:rsidRPr="00924B4B" w:rsidR="00E61653" w:rsidP="00E61653" w:rsidRDefault="00E61653" w14:paraId="26FFE8F3" w14:textId="77777777">
      <w:pPr>
        <w:rPr>
          <w:sz w:val="20"/>
          <w:szCs w:val="20"/>
        </w:rPr>
      </w:pPr>
      <w:r w:rsidRPr="00924B4B">
        <w:rPr>
          <w:rStyle w:val="FootnoteReference"/>
          <w:sz w:val="20"/>
          <w:szCs w:val="20"/>
        </w:rPr>
        <w:footnoteRef/>
      </w:r>
      <w:r w:rsidRPr="00924B4B">
        <w:rPr>
          <w:sz w:val="20"/>
          <w:szCs w:val="20"/>
        </w:rPr>
        <w:t xml:space="preserve"> Nathan Gamble and Michal Pruski, ‘Should Parents be asked to consent for life-saving paediatric interventions?’ (2021) 22(4) J Intensive Care Soc 335, 338.</w:t>
      </w:r>
    </w:p>
  </w:footnote>
  <w:footnote w:id="272">
    <w:p w:rsidR="00BA4636" w:rsidRDefault="00BA4636" w14:paraId="272D0844" w14:textId="3212DAB3">
      <w:pPr>
        <w:pStyle w:val="FootnoteText"/>
      </w:pPr>
      <w:r>
        <w:rPr>
          <w:rStyle w:val="FootnoteReference"/>
        </w:rPr>
        <w:footnoteRef/>
      </w:r>
      <w:r>
        <w:t xml:space="preserve"> </w:t>
      </w:r>
      <w:r w:rsidRPr="006E5E5E" w:rsidR="009B0A6C">
        <w:t xml:space="preserve"> Birchley </w:t>
      </w:r>
      <w:r w:rsidR="000F241F">
        <w:t>(n10</w:t>
      </w:r>
      <w:r w:rsidR="00F32219">
        <w:t>8</w:t>
      </w:r>
      <w:r w:rsidR="000F241F">
        <w:t>)</w:t>
      </w:r>
      <w:r w:rsidR="002B7DF7">
        <w:t xml:space="preserve"> </w:t>
      </w:r>
      <w:r w:rsidRPr="006E5E5E" w:rsidR="009B0A6C">
        <w:t>[e001589].</w:t>
      </w:r>
    </w:p>
  </w:footnote>
  <w:footnote w:id="273">
    <w:p w:rsidRPr="006E5E5E" w:rsidR="00D40F7E" w:rsidP="00D40F7E" w:rsidRDefault="00D40F7E" w14:paraId="6EB4AF3E" w14:textId="2D5E302A">
      <w:pPr>
        <w:pStyle w:val="FootnoteText"/>
      </w:pPr>
      <w:r w:rsidRPr="006E5E5E">
        <w:rPr>
          <w:rStyle w:val="FootnoteReference"/>
        </w:rPr>
        <w:footnoteRef/>
      </w:r>
      <w:r w:rsidRPr="006E5E5E">
        <w:t xml:space="preserve">  Forbat</w:t>
      </w:r>
      <w:r w:rsidR="00ED76D9">
        <w:t xml:space="preserve"> (n47)</w:t>
      </w:r>
      <w:r w:rsidR="002B7DF7">
        <w:t>.</w:t>
      </w:r>
    </w:p>
  </w:footnote>
  <w:footnote w:id="274">
    <w:p w:rsidRPr="008B60C8" w:rsidR="00715112" w:rsidP="008B60C8" w:rsidRDefault="00715112" w14:paraId="37E63167" w14:textId="34662ABA">
      <w:pPr>
        <w:rPr>
          <w:sz w:val="20"/>
          <w:szCs w:val="20"/>
        </w:rPr>
      </w:pPr>
      <w:r w:rsidRPr="00355D60">
        <w:rPr>
          <w:rStyle w:val="FootnoteReference"/>
          <w:sz w:val="20"/>
          <w:szCs w:val="20"/>
        </w:rPr>
        <w:footnoteRef/>
      </w:r>
      <w:r w:rsidRPr="00355D60">
        <w:rPr>
          <w:sz w:val="20"/>
          <w:szCs w:val="20"/>
        </w:rPr>
        <w:t xml:space="preserve"> </w:t>
      </w:r>
      <w:r w:rsidR="00E02D01">
        <w:rPr>
          <w:sz w:val="20"/>
          <w:szCs w:val="20"/>
        </w:rPr>
        <w:t xml:space="preserve"> </w:t>
      </w:r>
      <w:r w:rsidRPr="00355D60" w:rsidR="00B037FF">
        <w:rPr>
          <w:sz w:val="20"/>
          <w:szCs w:val="20"/>
        </w:rPr>
        <w:t>Forbat</w:t>
      </w:r>
      <w:r w:rsidR="00ED76D9">
        <w:rPr>
          <w:sz w:val="20"/>
          <w:szCs w:val="20"/>
        </w:rPr>
        <w:t xml:space="preserve"> (n43) </w:t>
      </w:r>
      <w:r w:rsidRPr="00355D60" w:rsidR="00355D60">
        <w:rPr>
          <w:sz w:val="20"/>
          <w:szCs w:val="20"/>
        </w:rPr>
        <w:t>329.</w:t>
      </w:r>
    </w:p>
  </w:footnote>
  <w:footnote w:id="275">
    <w:p w:rsidRPr="001844A1" w:rsidR="001844A1" w:rsidP="001844A1" w:rsidRDefault="001844A1" w14:paraId="1B636315" w14:textId="4CB6FA0E">
      <w:pPr>
        <w:rPr>
          <w:sz w:val="20"/>
          <w:szCs w:val="20"/>
        </w:rPr>
      </w:pPr>
      <w:r>
        <w:rPr>
          <w:rStyle w:val="FootnoteReference"/>
        </w:rPr>
        <w:footnoteRef/>
      </w:r>
      <w:r>
        <w:t xml:space="preserve"> </w:t>
      </w:r>
      <w:r w:rsidR="00ED76D9">
        <w:rPr>
          <w:sz w:val="20"/>
          <w:szCs w:val="20"/>
        </w:rPr>
        <w:t xml:space="preserve">ibid </w:t>
      </w:r>
      <w:r w:rsidRPr="00355D60">
        <w:rPr>
          <w:sz w:val="20"/>
          <w:szCs w:val="20"/>
        </w:rPr>
        <w:t>329</w:t>
      </w:r>
      <w:r w:rsidR="00A47706">
        <w:rPr>
          <w:sz w:val="20"/>
          <w:szCs w:val="20"/>
        </w:rPr>
        <w:t>-330.</w:t>
      </w:r>
    </w:p>
  </w:footnote>
  <w:footnote w:id="276">
    <w:p w:rsidR="00BF0E0F" w:rsidRDefault="00BF0E0F" w14:paraId="5E64013C" w14:textId="52F8B1A9">
      <w:pPr>
        <w:pStyle w:val="FootnoteText"/>
      </w:pPr>
      <w:r>
        <w:rPr>
          <w:rStyle w:val="FootnoteReference"/>
        </w:rPr>
        <w:footnoteRef/>
      </w:r>
      <w:r w:rsidR="00AE3CDC">
        <w:t xml:space="preserve"> i</w:t>
      </w:r>
      <w:r w:rsidR="00ED76D9">
        <w:t xml:space="preserve">bid </w:t>
      </w:r>
      <w:r w:rsidR="003D2148">
        <w:t>331.</w:t>
      </w:r>
    </w:p>
  </w:footnote>
  <w:footnote w:id="277">
    <w:p w:rsidR="00B96BFA" w:rsidRDefault="00B96BFA" w14:paraId="3720E9C2" w14:textId="3A5824EE">
      <w:pPr>
        <w:pStyle w:val="FootnoteText"/>
      </w:pPr>
      <w:r w:rsidRPr="006E5E5E">
        <w:rPr>
          <w:rStyle w:val="FootnoteReference"/>
        </w:rPr>
        <w:footnoteRef/>
      </w:r>
      <w:r w:rsidRPr="006E5E5E">
        <w:t xml:space="preserve"> Birchley </w:t>
      </w:r>
      <w:r w:rsidR="00AE3CDC">
        <w:t>(n10</w:t>
      </w:r>
      <w:r w:rsidR="00F32219">
        <w:t>8</w:t>
      </w:r>
      <w:r w:rsidR="00AE3CDC">
        <w:t>)</w:t>
      </w:r>
      <w:r w:rsidR="00642C2A">
        <w:t xml:space="preserve"> </w:t>
      </w:r>
      <w:r w:rsidRPr="006E5E5E" w:rsidR="006E6979">
        <w:t>[e001589].</w:t>
      </w:r>
    </w:p>
  </w:footnote>
  <w:footnote w:id="278">
    <w:p w:rsidR="00402FA1" w:rsidP="00402FA1" w:rsidRDefault="00402FA1" w14:paraId="6A894B00" w14:textId="2FF45D4C">
      <w:pPr>
        <w:pStyle w:val="FootnoteText"/>
      </w:pPr>
      <w:r>
        <w:rPr>
          <w:rStyle w:val="FootnoteReference"/>
        </w:rPr>
        <w:footnoteRef/>
      </w:r>
      <w:r>
        <w:t xml:space="preserve"> </w:t>
      </w:r>
      <w:r w:rsidR="00AE3CDC">
        <w:t xml:space="preserve">ibid </w:t>
      </w:r>
      <w:r>
        <w:t>3.</w:t>
      </w:r>
    </w:p>
  </w:footnote>
  <w:footnote w:id="279">
    <w:p w:rsidRPr="002A2345" w:rsidR="006379BF" w:rsidP="006379BF" w:rsidRDefault="006379BF" w14:paraId="2F0501E3" w14:textId="6D8A2301">
      <w:pPr>
        <w:pStyle w:val="FootnoteText"/>
        <w:rPr>
          <w:lang w:val="de-DE"/>
        </w:rPr>
      </w:pPr>
      <w:r>
        <w:rPr>
          <w:rStyle w:val="FootnoteReference"/>
        </w:rPr>
        <w:footnoteRef/>
      </w:r>
      <w:r w:rsidRPr="002A2345">
        <w:rPr>
          <w:lang w:val="de-DE"/>
        </w:rPr>
        <w:t xml:space="preserve"> Austin</w:t>
      </w:r>
      <w:r w:rsidRPr="002A2345" w:rsidR="00642C2A">
        <w:rPr>
          <w:lang w:val="de-DE"/>
        </w:rPr>
        <w:t xml:space="preserve"> </w:t>
      </w:r>
      <w:r w:rsidRPr="002A2345" w:rsidR="00AE3CDC">
        <w:rPr>
          <w:lang w:val="de-DE"/>
        </w:rPr>
        <w:t>(n11)</w:t>
      </w:r>
      <w:r w:rsidRPr="002A2345">
        <w:rPr>
          <w:lang w:val="de-DE"/>
        </w:rPr>
        <w:t xml:space="preserve"> para 20</w:t>
      </w:r>
      <w:r w:rsidRPr="002A2345" w:rsidR="00642C2A">
        <w:rPr>
          <w:lang w:val="de-DE"/>
        </w:rPr>
        <w:t>.</w:t>
      </w:r>
    </w:p>
  </w:footnote>
  <w:footnote w:id="280">
    <w:p w:rsidRPr="002A2345" w:rsidR="00246AD9" w:rsidP="00246AD9" w:rsidRDefault="00246AD9" w14:paraId="58653D54" w14:textId="6B7AA644">
      <w:pPr>
        <w:rPr>
          <w:sz w:val="20"/>
          <w:szCs w:val="20"/>
          <w:lang w:val="de-DE"/>
        </w:rPr>
      </w:pPr>
      <w:r w:rsidRPr="005E5F3C">
        <w:rPr>
          <w:rStyle w:val="FootnoteReference"/>
          <w:sz w:val="20"/>
          <w:szCs w:val="20"/>
        </w:rPr>
        <w:footnoteRef/>
      </w:r>
      <w:r w:rsidRPr="002A2345">
        <w:rPr>
          <w:sz w:val="20"/>
          <w:szCs w:val="20"/>
          <w:lang w:val="de-DE"/>
        </w:rPr>
        <w:t xml:space="preserve"> Birchley </w:t>
      </w:r>
      <w:r w:rsidRPr="002A2345" w:rsidR="008D7D1D">
        <w:rPr>
          <w:sz w:val="20"/>
          <w:szCs w:val="20"/>
          <w:lang w:val="de-DE"/>
        </w:rPr>
        <w:t>(n10</w:t>
      </w:r>
      <w:r w:rsidRPr="002A2345" w:rsidR="00F32219">
        <w:rPr>
          <w:sz w:val="20"/>
          <w:szCs w:val="20"/>
          <w:lang w:val="de-DE"/>
        </w:rPr>
        <w:t>8</w:t>
      </w:r>
      <w:r w:rsidRPr="002A2345" w:rsidR="008D7D1D">
        <w:rPr>
          <w:sz w:val="20"/>
          <w:szCs w:val="20"/>
          <w:lang w:val="de-DE"/>
        </w:rPr>
        <w:t xml:space="preserve">) </w:t>
      </w:r>
      <w:r w:rsidRPr="002A2345">
        <w:rPr>
          <w:sz w:val="20"/>
          <w:szCs w:val="20"/>
          <w:lang w:val="de-DE"/>
        </w:rPr>
        <w:t>7.</w:t>
      </w:r>
    </w:p>
  </w:footnote>
  <w:footnote w:id="281">
    <w:p w:rsidRPr="002A2345" w:rsidR="00A60005" w:rsidP="00A60005" w:rsidRDefault="00A60005" w14:paraId="5BB32F6B" w14:textId="676DCCC8">
      <w:pPr>
        <w:pStyle w:val="FootnoteText"/>
        <w:rPr>
          <w:lang w:val="de-DE"/>
        </w:rPr>
      </w:pPr>
      <w:r>
        <w:rPr>
          <w:rStyle w:val="FootnoteReference"/>
        </w:rPr>
        <w:footnoteRef/>
      </w:r>
      <w:r w:rsidRPr="002A2345">
        <w:rPr>
          <w:lang w:val="de-DE"/>
        </w:rPr>
        <w:t xml:space="preserve"> Austin</w:t>
      </w:r>
      <w:r w:rsidRPr="002A2345" w:rsidR="008D7D1D">
        <w:rPr>
          <w:lang w:val="de-DE"/>
        </w:rPr>
        <w:t xml:space="preserve"> (n11)</w:t>
      </w:r>
      <w:r w:rsidRPr="002A2345" w:rsidR="00642C2A">
        <w:rPr>
          <w:lang w:val="de-DE"/>
        </w:rPr>
        <w:t xml:space="preserve"> </w:t>
      </w:r>
      <w:r w:rsidRPr="002A2345">
        <w:rPr>
          <w:lang w:val="de-DE"/>
        </w:rPr>
        <w:t>paras 23-24.</w:t>
      </w:r>
    </w:p>
  </w:footnote>
  <w:footnote w:id="282">
    <w:p w:rsidRPr="002A2345" w:rsidR="008F0DFE" w:rsidP="008F0DFE" w:rsidRDefault="008F0DFE" w14:paraId="525BDC8B" w14:textId="2A773FFB">
      <w:pPr>
        <w:rPr>
          <w:sz w:val="24"/>
          <w:szCs w:val="24"/>
          <w:lang w:val="de-DE"/>
        </w:rPr>
      </w:pPr>
      <w:r w:rsidRPr="000C562C">
        <w:rPr>
          <w:rStyle w:val="FootnoteReference"/>
          <w:sz w:val="20"/>
          <w:szCs w:val="20"/>
        </w:rPr>
        <w:footnoteRef/>
      </w:r>
      <w:r w:rsidRPr="002A2345">
        <w:rPr>
          <w:sz w:val="20"/>
          <w:szCs w:val="20"/>
          <w:lang w:val="de-DE"/>
        </w:rPr>
        <w:t xml:space="preserve">  Wallis</w:t>
      </w:r>
      <w:r w:rsidRPr="002A2345" w:rsidR="008D7D1D">
        <w:rPr>
          <w:sz w:val="20"/>
          <w:szCs w:val="20"/>
          <w:lang w:val="de-DE"/>
        </w:rPr>
        <w:t xml:space="preserve"> (n</w:t>
      </w:r>
      <w:r w:rsidRPr="002A2345" w:rsidR="003C29A4">
        <w:rPr>
          <w:sz w:val="20"/>
          <w:szCs w:val="20"/>
          <w:lang w:val="de-DE"/>
        </w:rPr>
        <w:t>14</w:t>
      </w:r>
      <w:r w:rsidRPr="002A2345" w:rsidR="00F32219">
        <w:rPr>
          <w:sz w:val="20"/>
          <w:szCs w:val="20"/>
          <w:lang w:val="de-DE"/>
        </w:rPr>
        <w:t>4</w:t>
      </w:r>
      <w:r w:rsidRPr="002A2345" w:rsidR="003C29A4">
        <w:rPr>
          <w:sz w:val="20"/>
          <w:szCs w:val="20"/>
          <w:lang w:val="de-DE"/>
        </w:rPr>
        <w:t xml:space="preserve">) </w:t>
      </w:r>
      <w:r w:rsidRPr="002A2345">
        <w:rPr>
          <w:sz w:val="20"/>
          <w:szCs w:val="20"/>
          <w:lang w:val="de-DE"/>
        </w:rPr>
        <w:t>413.</w:t>
      </w:r>
    </w:p>
  </w:footnote>
  <w:footnote w:id="283">
    <w:p w:rsidRPr="002A2345" w:rsidR="004415C7" w:rsidP="004415C7" w:rsidRDefault="004415C7" w14:paraId="3332AB27" w14:textId="5C6147A7">
      <w:pPr>
        <w:pStyle w:val="FootnoteText"/>
        <w:rPr>
          <w:lang w:val="de-DE"/>
        </w:rPr>
      </w:pPr>
      <w:r>
        <w:rPr>
          <w:rStyle w:val="FootnoteReference"/>
        </w:rPr>
        <w:footnoteRef/>
      </w:r>
      <w:r w:rsidRPr="002A2345">
        <w:rPr>
          <w:lang w:val="de-DE"/>
        </w:rPr>
        <w:t xml:space="preserve"> Birchley</w:t>
      </w:r>
      <w:r w:rsidRPr="002A2345" w:rsidR="003C29A4">
        <w:rPr>
          <w:lang w:val="de-DE"/>
        </w:rPr>
        <w:t xml:space="preserve"> (n10</w:t>
      </w:r>
      <w:r w:rsidRPr="002A2345" w:rsidR="00F32219">
        <w:rPr>
          <w:lang w:val="de-DE"/>
        </w:rPr>
        <w:t>8</w:t>
      </w:r>
      <w:r w:rsidRPr="002A2345" w:rsidR="003C29A4">
        <w:rPr>
          <w:lang w:val="de-DE"/>
        </w:rPr>
        <w:t>)</w:t>
      </w:r>
      <w:r w:rsidRPr="002A2345">
        <w:rPr>
          <w:lang w:val="de-DE"/>
        </w:rPr>
        <w:t xml:space="preserve"> 1.</w:t>
      </w:r>
    </w:p>
  </w:footnote>
  <w:footnote w:id="284">
    <w:p w:rsidR="00290C2D" w:rsidRDefault="00290C2D" w14:paraId="67BBF308" w14:textId="05BB8D09">
      <w:pPr>
        <w:pStyle w:val="FootnoteText"/>
      </w:pPr>
      <w:r>
        <w:rPr>
          <w:rStyle w:val="FootnoteReference"/>
        </w:rPr>
        <w:footnoteRef/>
      </w:r>
      <w:r>
        <w:t xml:space="preserve"> </w:t>
      </w:r>
      <w:r w:rsidRPr="00C045AC">
        <w:t xml:space="preserve"> Austin</w:t>
      </w:r>
      <w:r w:rsidR="003C29A4">
        <w:t xml:space="preserve"> (n11) </w:t>
      </w:r>
      <w:r w:rsidR="00F70E51">
        <w:t>para 21.</w:t>
      </w:r>
    </w:p>
  </w:footnote>
  <w:footnote w:id="285">
    <w:p w:rsidRPr="008B60C8" w:rsidR="00DB28AC" w:rsidP="008B60C8" w:rsidRDefault="00DB28AC" w14:paraId="5258444C" w14:textId="187D0CE0">
      <w:pPr>
        <w:rPr>
          <w:sz w:val="20"/>
          <w:szCs w:val="20"/>
        </w:rPr>
      </w:pPr>
      <w:r>
        <w:rPr>
          <w:rStyle w:val="FootnoteReference"/>
        </w:rPr>
        <w:footnoteRef/>
      </w:r>
      <w:r>
        <w:t xml:space="preserve"> </w:t>
      </w:r>
      <w:r w:rsidRPr="00513982" w:rsidR="00513982">
        <w:rPr>
          <w:i/>
          <w:iCs/>
          <w:sz w:val="20"/>
          <w:szCs w:val="20"/>
        </w:rPr>
        <w:t>Manchester University NHS Foundation Trust v William Verden &amp; Amy McLennan</w:t>
      </w:r>
      <w:r w:rsidRPr="00513982" w:rsidR="00513982">
        <w:rPr>
          <w:sz w:val="20"/>
          <w:szCs w:val="20"/>
        </w:rPr>
        <w:t xml:space="preserve"> [2022] EWCOP 9 [101]-[102].</w:t>
      </w:r>
    </w:p>
  </w:footnote>
  <w:footnote w:id="286">
    <w:p w:rsidRPr="002A2345" w:rsidR="001A17BE" w:rsidP="001A17BE" w:rsidRDefault="001A17BE" w14:paraId="053A7AFD" w14:textId="6ADD0129">
      <w:pPr>
        <w:rPr>
          <w:sz w:val="24"/>
          <w:szCs w:val="24"/>
          <w:lang w:val="de-DE"/>
        </w:rPr>
      </w:pPr>
      <w:r w:rsidRPr="000C562C">
        <w:rPr>
          <w:rStyle w:val="FootnoteReference"/>
          <w:sz w:val="20"/>
          <w:szCs w:val="20"/>
        </w:rPr>
        <w:footnoteRef/>
      </w:r>
      <w:r w:rsidRPr="002A2345">
        <w:rPr>
          <w:sz w:val="20"/>
          <w:szCs w:val="20"/>
          <w:lang w:val="de-DE"/>
        </w:rPr>
        <w:t xml:space="preserve"> Wallis</w:t>
      </w:r>
      <w:r w:rsidRPr="002A2345" w:rsidR="004D0A7E">
        <w:rPr>
          <w:sz w:val="20"/>
          <w:szCs w:val="20"/>
          <w:lang w:val="de-DE"/>
        </w:rPr>
        <w:t xml:space="preserve"> (n14</w:t>
      </w:r>
      <w:r w:rsidRPr="002A2345" w:rsidR="00F32219">
        <w:rPr>
          <w:sz w:val="20"/>
          <w:szCs w:val="20"/>
          <w:lang w:val="de-DE"/>
        </w:rPr>
        <w:t>4</w:t>
      </w:r>
      <w:r w:rsidRPr="002A2345" w:rsidR="004D0A7E">
        <w:rPr>
          <w:sz w:val="20"/>
          <w:szCs w:val="20"/>
          <w:lang w:val="de-DE"/>
        </w:rPr>
        <w:t xml:space="preserve">) </w:t>
      </w:r>
      <w:r w:rsidRPr="002A2345">
        <w:rPr>
          <w:sz w:val="20"/>
          <w:szCs w:val="20"/>
          <w:lang w:val="de-DE"/>
        </w:rPr>
        <w:t>413.</w:t>
      </w:r>
    </w:p>
  </w:footnote>
  <w:footnote w:id="287">
    <w:p w:rsidRPr="002A2345" w:rsidR="00F055AF" w:rsidRDefault="00F055AF" w14:paraId="7DBCFE2E" w14:textId="193025F9">
      <w:pPr>
        <w:pStyle w:val="FootnoteText"/>
        <w:rPr>
          <w:lang w:val="de-DE"/>
        </w:rPr>
      </w:pPr>
      <w:r w:rsidRPr="00831BE0">
        <w:rPr>
          <w:rStyle w:val="FootnoteReference"/>
        </w:rPr>
        <w:footnoteRef/>
      </w:r>
      <w:r w:rsidRPr="002A2345">
        <w:rPr>
          <w:lang w:val="de-DE"/>
        </w:rPr>
        <w:t xml:space="preserve"> Mir</w:t>
      </w:r>
      <w:r w:rsidRPr="002A2345" w:rsidR="004D0A7E">
        <w:rPr>
          <w:lang w:val="de-DE"/>
        </w:rPr>
        <w:t xml:space="preserve"> (n16</w:t>
      </w:r>
      <w:r w:rsidRPr="002A2345" w:rsidR="00F32219">
        <w:rPr>
          <w:lang w:val="de-DE"/>
        </w:rPr>
        <w:t>7</w:t>
      </w:r>
      <w:r w:rsidRPr="002A2345" w:rsidR="004D0A7E">
        <w:rPr>
          <w:lang w:val="de-DE"/>
        </w:rPr>
        <w:t xml:space="preserve">) </w:t>
      </w:r>
      <w:r w:rsidRPr="002A2345">
        <w:rPr>
          <w:lang w:val="de-DE"/>
        </w:rPr>
        <w:t>2735.</w:t>
      </w:r>
    </w:p>
  </w:footnote>
  <w:footnote w:id="288">
    <w:p w:rsidRPr="002A2345" w:rsidR="000037C7" w:rsidRDefault="000037C7" w14:paraId="579B563A" w14:textId="55FFE597">
      <w:pPr>
        <w:pStyle w:val="FootnoteText"/>
        <w:rPr>
          <w:lang w:val="de-DE"/>
        </w:rPr>
      </w:pPr>
      <w:r w:rsidRPr="00831BE0">
        <w:rPr>
          <w:rStyle w:val="FootnoteReference"/>
        </w:rPr>
        <w:footnoteRef/>
      </w:r>
      <w:r w:rsidRPr="002A2345">
        <w:rPr>
          <w:lang w:val="de-DE"/>
        </w:rPr>
        <w:t xml:space="preserve"> Wallis</w:t>
      </w:r>
      <w:r w:rsidRPr="002A2345" w:rsidR="004D0A7E">
        <w:rPr>
          <w:lang w:val="de-DE"/>
        </w:rPr>
        <w:t xml:space="preserve"> (n14</w:t>
      </w:r>
      <w:r w:rsidRPr="002A2345" w:rsidR="00F32219">
        <w:rPr>
          <w:lang w:val="de-DE"/>
        </w:rPr>
        <w:t>4</w:t>
      </w:r>
      <w:r w:rsidRPr="002A2345" w:rsidR="004D0A7E">
        <w:rPr>
          <w:lang w:val="de-DE"/>
        </w:rPr>
        <w:t xml:space="preserve">) </w:t>
      </w:r>
      <w:r w:rsidRPr="002A2345">
        <w:rPr>
          <w:lang w:val="de-DE"/>
        </w:rPr>
        <w:t>413.</w:t>
      </w:r>
    </w:p>
  </w:footnote>
  <w:footnote w:id="289">
    <w:p w:rsidRPr="00831BE0" w:rsidR="009C34DA" w:rsidRDefault="009C34DA" w14:paraId="16BA71F1" w14:textId="097E6DB1">
      <w:pPr>
        <w:pStyle w:val="FootnoteText"/>
      </w:pPr>
      <w:r w:rsidRPr="00831BE0">
        <w:rPr>
          <w:rStyle w:val="FootnoteReference"/>
        </w:rPr>
        <w:footnoteRef/>
      </w:r>
      <w:r w:rsidR="00C64627">
        <w:t xml:space="preserve"> </w:t>
      </w:r>
      <w:r w:rsidRPr="00831BE0">
        <w:rPr>
          <w:color w:val="000000"/>
        </w:rPr>
        <w:t xml:space="preserve">Barlet </w:t>
      </w:r>
      <w:r w:rsidR="004D0A7E">
        <w:rPr>
          <w:color w:val="000000"/>
        </w:rPr>
        <w:t>(n</w:t>
      </w:r>
      <w:r w:rsidR="00FA5FE6">
        <w:rPr>
          <w:color w:val="000000"/>
        </w:rPr>
        <w:t>20</w:t>
      </w:r>
      <w:r w:rsidR="00F32219">
        <w:rPr>
          <w:color w:val="000000"/>
        </w:rPr>
        <w:t>1</w:t>
      </w:r>
      <w:r w:rsidR="00C64627">
        <w:rPr>
          <w:color w:val="000000"/>
        </w:rPr>
        <w:t xml:space="preserve">) </w:t>
      </w:r>
      <w:r w:rsidRPr="00831BE0" w:rsidR="006B74C8">
        <w:rPr>
          <w:color w:val="000000"/>
        </w:rPr>
        <w:t>86.</w:t>
      </w:r>
    </w:p>
  </w:footnote>
  <w:footnote w:id="290">
    <w:p w:rsidRPr="00831BE0" w:rsidR="00A955CF" w:rsidP="00A955CF" w:rsidRDefault="00A955CF" w14:paraId="64D40BF4" w14:textId="37B6B6C9">
      <w:pPr>
        <w:pStyle w:val="FootnoteText"/>
      </w:pPr>
      <w:r w:rsidRPr="00831BE0">
        <w:rPr>
          <w:rStyle w:val="FootnoteReference"/>
        </w:rPr>
        <w:footnoteRef/>
      </w:r>
      <w:r w:rsidRPr="00831BE0">
        <w:t xml:space="preserve"> Aucklan</w:t>
      </w:r>
      <w:r w:rsidR="00C64627">
        <w:t>d (n8</w:t>
      </w:r>
      <w:r w:rsidR="00FA5FE6">
        <w:t>8</w:t>
      </w:r>
      <w:r w:rsidR="00C64627">
        <w:t>)</w:t>
      </w:r>
      <w:r w:rsidRPr="00831BE0">
        <w:t xml:space="preserve"> 668.</w:t>
      </w:r>
    </w:p>
  </w:footnote>
  <w:footnote w:id="291">
    <w:p w:rsidRPr="00831BE0" w:rsidR="00706C8D" w:rsidP="002D0C46" w:rsidRDefault="00706C8D" w14:paraId="62862534" w14:textId="49687D9C">
      <w:pPr>
        <w:rPr>
          <w:sz w:val="20"/>
          <w:szCs w:val="20"/>
        </w:rPr>
      </w:pPr>
      <w:r w:rsidRPr="00831BE0">
        <w:rPr>
          <w:rStyle w:val="FootnoteReference"/>
          <w:sz w:val="20"/>
          <w:szCs w:val="20"/>
        </w:rPr>
        <w:footnoteRef/>
      </w:r>
      <w:r w:rsidRPr="00831BE0">
        <w:rPr>
          <w:sz w:val="20"/>
          <w:szCs w:val="20"/>
        </w:rPr>
        <w:t xml:space="preserve"> </w:t>
      </w:r>
      <w:r w:rsidRPr="00831BE0" w:rsidR="002D0C46">
        <w:rPr>
          <w:sz w:val="20"/>
          <w:szCs w:val="20"/>
        </w:rPr>
        <w:t xml:space="preserve">Richard Huxtable, ‘Clinic, Courtroom or (Specialist) Committee: In the Best Interests of the Critically Ill Child’ (2018) 44 J Med Ethics 471, </w:t>
      </w:r>
      <w:r w:rsidRPr="00831BE0" w:rsidR="00EB3486">
        <w:rPr>
          <w:sz w:val="20"/>
          <w:szCs w:val="20"/>
        </w:rPr>
        <w:t>473.</w:t>
      </w:r>
    </w:p>
  </w:footnote>
  <w:footnote w:id="292">
    <w:p w:rsidRPr="00831BE0" w:rsidR="00872701" w:rsidP="001E6AFE" w:rsidRDefault="00872701" w14:paraId="1706ECCB" w14:textId="66DA2E8E">
      <w:pPr>
        <w:rPr>
          <w:sz w:val="20"/>
          <w:szCs w:val="20"/>
        </w:rPr>
      </w:pPr>
      <w:r w:rsidRPr="00831BE0">
        <w:rPr>
          <w:rStyle w:val="FootnoteReference"/>
          <w:sz w:val="20"/>
          <w:szCs w:val="20"/>
        </w:rPr>
        <w:footnoteRef/>
      </w:r>
      <w:r w:rsidRPr="00831BE0">
        <w:rPr>
          <w:sz w:val="20"/>
          <w:szCs w:val="20"/>
        </w:rPr>
        <w:t xml:space="preserve"> </w:t>
      </w:r>
      <w:r w:rsidRPr="00831BE0" w:rsidR="00B54DA3">
        <w:rPr>
          <w:sz w:val="20"/>
          <w:szCs w:val="20"/>
        </w:rPr>
        <w:t xml:space="preserve">Harleen K </w:t>
      </w:r>
      <w:r w:rsidRPr="00831BE0" w:rsidR="005A4897">
        <w:rPr>
          <w:sz w:val="20"/>
          <w:szCs w:val="20"/>
        </w:rPr>
        <w:t xml:space="preserve">Johal, </w:t>
      </w:r>
      <w:r w:rsidRPr="00831BE0" w:rsidR="00FF747A">
        <w:rPr>
          <w:sz w:val="20"/>
          <w:szCs w:val="20"/>
        </w:rPr>
        <w:t xml:space="preserve">Giles </w:t>
      </w:r>
      <w:r w:rsidRPr="00831BE0" w:rsidR="005A4897">
        <w:rPr>
          <w:sz w:val="20"/>
          <w:szCs w:val="20"/>
        </w:rPr>
        <w:t xml:space="preserve">Birchley and </w:t>
      </w:r>
      <w:r w:rsidRPr="00831BE0" w:rsidR="00FF747A">
        <w:rPr>
          <w:sz w:val="20"/>
          <w:szCs w:val="20"/>
        </w:rPr>
        <w:t xml:space="preserve">Richard </w:t>
      </w:r>
      <w:r w:rsidRPr="00831BE0" w:rsidR="005A4897">
        <w:rPr>
          <w:sz w:val="20"/>
          <w:szCs w:val="20"/>
        </w:rPr>
        <w:t xml:space="preserve">Huxtable, ‘Exploring physician approaches to conflict resolution in end-of-life decisions in the adult intensive care unit: protocol for a systematic review of qualitative research’ (2022) 12(7) BMJ Open e057387, </w:t>
      </w:r>
      <w:r w:rsidRPr="00831BE0" w:rsidR="00FF747A">
        <w:rPr>
          <w:sz w:val="20"/>
          <w:szCs w:val="20"/>
        </w:rPr>
        <w:t>2.</w:t>
      </w:r>
    </w:p>
  </w:footnote>
  <w:footnote w:id="293">
    <w:p w:rsidRPr="00831BE0" w:rsidR="00B15C2D" w:rsidRDefault="00B15C2D" w14:paraId="2388C3FF" w14:textId="23AE407A">
      <w:pPr>
        <w:pStyle w:val="FootnoteText"/>
      </w:pPr>
      <w:r w:rsidRPr="00831BE0">
        <w:rPr>
          <w:rStyle w:val="FootnoteReference"/>
        </w:rPr>
        <w:footnoteRef/>
      </w:r>
      <w:r w:rsidRPr="00831BE0">
        <w:t xml:space="preserve"> Huxtable</w:t>
      </w:r>
      <w:r w:rsidR="00373968">
        <w:t xml:space="preserve"> (n</w:t>
      </w:r>
      <w:r w:rsidR="004C0055">
        <w:t>2</w:t>
      </w:r>
      <w:r w:rsidR="00F32219">
        <w:t>90</w:t>
      </w:r>
      <w:r w:rsidR="004C0055">
        <w:t xml:space="preserve">) </w:t>
      </w:r>
      <w:r w:rsidRPr="00831BE0" w:rsidR="00091BDA">
        <w:t>473.</w:t>
      </w:r>
    </w:p>
  </w:footnote>
  <w:footnote w:id="294">
    <w:p w:rsidRPr="00831BE0" w:rsidR="007615B6" w:rsidP="007615B6" w:rsidRDefault="007615B6" w14:paraId="6C344C34" w14:textId="047A7DDF">
      <w:pPr>
        <w:pStyle w:val="FootnoteText"/>
      </w:pPr>
      <w:r w:rsidRPr="00831BE0">
        <w:rPr>
          <w:rStyle w:val="FootnoteReference"/>
        </w:rPr>
        <w:footnoteRef/>
      </w:r>
      <w:r w:rsidRPr="00831BE0">
        <w:t xml:space="preserve"> Jesmon</w:t>
      </w:r>
      <w:r w:rsidR="004C0055">
        <w:t>t (n16)</w:t>
      </w:r>
      <w:r w:rsidRPr="00831BE0">
        <w:t xml:space="preserve"> 1238.</w:t>
      </w:r>
    </w:p>
  </w:footnote>
  <w:footnote w:id="295">
    <w:p w:rsidRPr="00831BE0" w:rsidR="00334086" w:rsidRDefault="00334086" w14:paraId="46D65FB9" w14:textId="323C4262">
      <w:pPr>
        <w:pStyle w:val="FootnoteText"/>
      </w:pPr>
      <w:r w:rsidRPr="00831BE0">
        <w:rPr>
          <w:rStyle w:val="FootnoteReference"/>
        </w:rPr>
        <w:footnoteRef/>
      </w:r>
      <w:r w:rsidRPr="00831BE0">
        <w:t xml:space="preserve"> </w:t>
      </w:r>
      <w:r w:rsidRPr="00831BE0">
        <w:rPr>
          <w:i/>
          <w:iCs/>
        </w:rPr>
        <w:t>Manchester University NHS Foundation Trust v William Verden &amp; Amy McLennan</w:t>
      </w:r>
      <w:r w:rsidRPr="00831BE0">
        <w:t xml:space="preserve"> [2022] EWCOP 9</w:t>
      </w:r>
      <w:r w:rsidRPr="00831BE0" w:rsidR="00020F2C">
        <w:t xml:space="preserve"> [105].</w:t>
      </w:r>
    </w:p>
  </w:footnote>
  <w:footnote w:id="296">
    <w:p w:rsidRPr="0016226F" w:rsidR="00664821" w:rsidP="0016226F" w:rsidRDefault="00664821" w14:paraId="0E30F355" w14:textId="7D796B77">
      <w:pPr>
        <w:rPr>
          <w:u w:val="single"/>
        </w:rPr>
      </w:pPr>
      <w:r w:rsidRPr="00831BE0">
        <w:rPr>
          <w:rStyle w:val="FootnoteReference"/>
          <w:sz w:val="20"/>
          <w:szCs w:val="20"/>
        </w:rPr>
        <w:footnoteRef/>
      </w:r>
      <w:r w:rsidRPr="00831BE0">
        <w:rPr>
          <w:sz w:val="20"/>
          <w:szCs w:val="20"/>
        </w:rPr>
        <w:t xml:space="preserve"> </w:t>
      </w:r>
      <w:r w:rsidRPr="00831BE0" w:rsidR="0016226F">
        <w:rPr>
          <w:i/>
          <w:iCs/>
          <w:sz w:val="20"/>
          <w:szCs w:val="20"/>
        </w:rPr>
        <w:t>Manchester University NHS Foundation Trust v William Verden &amp; Amy McLennan</w:t>
      </w:r>
      <w:r w:rsidRPr="00831BE0" w:rsidR="0016226F">
        <w:rPr>
          <w:sz w:val="20"/>
          <w:szCs w:val="20"/>
        </w:rPr>
        <w:t xml:space="preserve"> [2022] EWCOP 9 [106].</w:t>
      </w:r>
    </w:p>
  </w:footnote>
  <w:footnote w:id="297">
    <w:p w:rsidRPr="00047444" w:rsidR="00047444" w:rsidP="00047444" w:rsidRDefault="00047444" w14:paraId="44E87B82" w14:textId="00CF326F">
      <w:pPr>
        <w:rPr>
          <w:sz w:val="20"/>
          <w:szCs w:val="20"/>
        </w:rPr>
      </w:pPr>
      <w:r w:rsidRPr="00047444">
        <w:rPr>
          <w:rStyle w:val="FootnoteReference"/>
          <w:sz w:val="20"/>
          <w:szCs w:val="20"/>
        </w:rPr>
        <w:footnoteRef/>
      </w:r>
      <w:r w:rsidRPr="00047444">
        <w:rPr>
          <w:i/>
          <w:iCs/>
          <w:sz w:val="20"/>
          <w:szCs w:val="20"/>
        </w:rPr>
        <w:t>Barts Health NHS Trust v Hollie Dance &amp; Paul Battersbee &amp; Archie Battersbee</w:t>
      </w:r>
      <w:r w:rsidRPr="00047444">
        <w:rPr>
          <w:sz w:val="20"/>
          <w:szCs w:val="20"/>
        </w:rPr>
        <w:t xml:space="preserve"> [2022] EWHC 1435 (Fam) [136]</w:t>
      </w:r>
    </w:p>
  </w:footnote>
  <w:footnote w:id="298">
    <w:p w:rsidRPr="002A2345" w:rsidR="00340BF9" w:rsidRDefault="00340BF9" w14:paraId="6A5A3BB7" w14:textId="69D4F2DF">
      <w:pPr>
        <w:pStyle w:val="FootnoteText"/>
        <w:rPr>
          <w:lang w:val="it-IT"/>
        </w:rPr>
      </w:pPr>
      <w:r>
        <w:rPr>
          <w:rStyle w:val="FootnoteReference"/>
        </w:rPr>
        <w:footnoteRef/>
      </w:r>
      <w:r w:rsidRPr="002A2345">
        <w:rPr>
          <w:lang w:val="it-IT"/>
        </w:rPr>
        <w:t xml:space="preserve"> Sokel</w:t>
      </w:r>
      <w:r w:rsidRPr="002A2345" w:rsidR="004C0055">
        <w:rPr>
          <w:lang w:val="it-IT"/>
        </w:rPr>
        <w:t xml:space="preserve"> (n</w:t>
      </w:r>
      <w:r w:rsidRPr="002A2345" w:rsidR="00F367F2">
        <w:rPr>
          <w:lang w:val="it-IT"/>
        </w:rPr>
        <w:t>10</w:t>
      </w:r>
      <w:r w:rsidRPr="002A2345" w:rsidR="00FA5FE6">
        <w:rPr>
          <w:lang w:val="it-IT"/>
        </w:rPr>
        <w:t>3</w:t>
      </w:r>
      <w:r w:rsidRPr="002A2345" w:rsidR="00F367F2">
        <w:rPr>
          <w:lang w:val="it-IT"/>
        </w:rPr>
        <w:t xml:space="preserve">) </w:t>
      </w:r>
      <w:r w:rsidRPr="002A2345">
        <w:rPr>
          <w:lang w:val="it-IT"/>
        </w:rPr>
        <w:t>o1980.</w:t>
      </w:r>
    </w:p>
  </w:footnote>
  <w:footnote w:id="299">
    <w:p w:rsidRPr="002A2345" w:rsidR="001A301C" w:rsidP="00786B63" w:rsidRDefault="001A301C" w14:paraId="1735487A" w14:textId="7845ECB3">
      <w:pPr>
        <w:rPr>
          <w:sz w:val="24"/>
          <w:szCs w:val="24"/>
          <w:lang w:val="it-IT"/>
        </w:rPr>
      </w:pPr>
      <w:r>
        <w:rPr>
          <w:rStyle w:val="FootnoteReference"/>
        </w:rPr>
        <w:footnoteRef/>
      </w:r>
      <w:r w:rsidRPr="002A2345">
        <w:rPr>
          <w:lang w:val="it-IT"/>
        </w:rPr>
        <w:t xml:space="preserve"> </w:t>
      </w:r>
      <w:r w:rsidRPr="002A2345">
        <w:rPr>
          <w:sz w:val="20"/>
          <w:szCs w:val="20"/>
          <w:lang w:val="it-IT"/>
        </w:rPr>
        <w:t>Wallis</w:t>
      </w:r>
      <w:r w:rsidRPr="002A2345" w:rsidR="00F367F2">
        <w:rPr>
          <w:sz w:val="20"/>
          <w:szCs w:val="20"/>
          <w:lang w:val="it-IT"/>
        </w:rPr>
        <w:t xml:space="preserve"> (n14</w:t>
      </w:r>
      <w:r w:rsidRPr="002A2345" w:rsidR="00F32219">
        <w:rPr>
          <w:sz w:val="20"/>
          <w:szCs w:val="20"/>
          <w:lang w:val="it-IT"/>
        </w:rPr>
        <w:t>4</w:t>
      </w:r>
      <w:r w:rsidRPr="002A2345" w:rsidR="00F367F2">
        <w:rPr>
          <w:sz w:val="20"/>
          <w:szCs w:val="20"/>
          <w:lang w:val="it-IT"/>
        </w:rPr>
        <w:t xml:space="preserve">) </w:t>
      </w:r>
      <w:r w:rsidRPr="002A2345">
        <w:rPr>
          <w:sz w:val="20"/>
          <w:szCs w:val="20"/>
          <w:lang w:val="it-IT"/>
        </w:rPr>
        <w:t>413.</w:t>
      </w:r>
    </w:p>
  </w:footnote>
  <w:footnote w:id="300">
    <w:p w:rsidR="0048425D" w:rsidRDefault="0048425D" w14:paraId="3BECDDB5" w14:textId="3AFC654E">
      <w:pPr>
        <w:pStyle w:val="FootnoteText"/>
      </w:pPr>
      <w:r>
        <w:rPr>
          <w:rStyle w:val="FootnoteReference"/>
        </w:rPr>
        <w:footnoteRef/>
      </w:r>
      <w:r w:rsidRPr="004A3183" w:rsidR="00D664E7">
        <w:t xml:space="preserve"> Auckland</w:t>
      </w:r>
      <w:r w:rsidR="00F367F2">
        <w:t xml:space="preserve"> (n</w:t>
      </w:r>
      <w:r w:rsidR="00556ECC">
        <w:t>8</w:t>
      </w:r>
      <w:r w:rsidR="00D00BC1">
        <w:t>8</w:t>
      </w:r>
      <w:r w:rsidR="00556ECC">
        <w:t>)</w:t>
      </w:r>
      <w:r w:rsidRPr="004A3183" w:rsidR="00D664E7">
        <w:t xml:space="preserve"> </w:t>
      </w:r>
      <w:r w:rsidR="00A207E2">
        <w:t>667.</w:t>
      </w:r>
    </w:p>
  </w:footnote>
  <w:footnote w:id="301">
    <w:p w:rsidR="002917F1" w:rsidRDefault="002917F1" w14:paraId="4BFC202B" w14:textId="636C5393">
      <w:pPr>
        <w:pStyle w:val="FootnoteText"/>
      </w:pPr>
      <w:r>
        <w:rPr>
          <w:rStyle w:val="FootnoteReference"/>
        </w:rPr>
        <w:footnoteRef/>
      </w:r>
      <w:r w:rsidR="00556ECC">
        <w:t xml:space="preserve"> ibid</w:t>
      </w:r>
      <w:r w:rsidR="007169AE">
        <w:t xml:space="preserve"> 668.</w:t>
      </w:r>
    </w:p>
  </w:footnote>
  <w:footnote w:id="302">
    <w:p w:rsidR="007169AE" w:rsidRDefault="007169AE" w14:paraId="4A00DFEE" w14:textId="6198968F">
      <w:pPr>
        <w:pStyle w:val="FootnoteText"/>
      </w:pPr>
      <w:r>
        <w:rPr>
          <w:rStyle w:val="FootnoteReference"/>
        </w:rPr>
        <w:footnoteRef/>
      </w:r>
      <w:r w:rsidR="00556ECC">
        <w:t xml:space="preserve"> ibid </w:t>
      </w:r>
      <w:r w:rsidR="00A61939">
        <w:t>669.</w:t>
      </w:r>
    </w:p>
  </w:footnote>
  <w:footnote w:id="303">
    <w:p w:rsidR="0076778F" w:rsidRDefault="0076778F" w14:paraId="5853FE73" w14:textId="62FDC5D3">
      <w:pPr>
        <w:pStyle w:val="FootnoteText"/>
      </w:pPr>
      <w:r>
        <w:rPr>
          <w:rStyle w:val="FootnoteReference"/>
        </w:rPr>
        <w:footnoteRef/>
      </w:r>
      <w:r w:rsidR="00556ECC">
        <w:t xml:space="preserve"> ibid </w:t>
      </w:r>
      <w:r w:rsidR="00C5050E">
        <w:t>670.</w:t>
      </w:r>
    </w:p>
  </w:footnote>
  <w:footnote w:id="304">
    <w:p w:rsidRPr="005E46BB" w:rsidR="00C4682B" w:rsidP="00C40BC1" w:rsidRDefault="00C4682B" w14:paraId="0C67CB52" w14:textId="36FA2390">
      <w:pPr>
        <w:rPr>
          <w:sz w:val="20"/>
          <w:szCs w:val="20"/>
        </w:rPr>
      </w:pPr>
      <w:r w:rsidRPr="005E46BB">
        <w:rPr>
          <w:rStyle w:val="FootnoteReference"/>
          <w:sz w:val="20"/>
          <w:szCs w:val="20"/>
        </w:rPr>
        <w:footnoteRef/>
      </w:r>
      <w:r w:rsidRPr="005E46BB">
        <w:rPr>
          <w:sz w:val="20"/>
          <w:szCs w:val="20"/>
        </w:rPr>
        <w:t xml:space="preserve"> </w:t>
      </w:r>
      <w:r w:rsidRPr="005E46BB" w:rsidR="00475651">
        <w:rPr>
          <w:sz w:val="20"/>
          <w:szCs w:val="20"/>
        </w:rPr>
        <w:t>Benbo</w:t>
      </w:r>
      <w:r w:rsidR="00925CFB">
        <w:rPr>
          <w:sz w:val="20"/>
          <w:szCs w:val="20"/>
        </w:rPr>
        <w:t>w (n1</w:t>
      </w:r>
      <w:r w:rsidR="00F32219">
        <w:rPr>
          <w:sz w:val="20"/>
          <w:szCs w:val="20"/>
        </w:rPr>
        <w:t>60</w:t>
      </w:r>
      <w:r w:rsidR="00925CFB">
        <w:rPr>
          <w:sz w:val="20"/>
          <w:szCs w:val="20"/>
        </w:rPr>
        <w:t xml:space="preserve">) </w:t>
      </w:r>
      <w:r w:rsidRPr="005E46BB" w:rsidR="00C40BC1">
        <w:rPr>
          <w:sz w:val="20"/>
          <w:szCs w:val="20"/>
        </w:rPr>
        <w:t>300.</w:t>
      </w:r>
    </w:p>
  </w:footnote>
  <w:footnote w:id="305">
    <w:p w:rsidRPr="005E46BB" w:rsidR="00921F47" w:rsidRDefault="00921F47" w14:paraId="585643C5" w14:textId="70FBA7FE">
      <w:pPr>
        <w:pStyle w:val="FootnoteText"/>
      </w:pPr>
      <w:r w:rsidRPr="005E46BB">
        <w:rPr>
          <w:rStyle w:val="FootnoteReference"/>
        </w:rPr>
        <w:footnoteRef/>
      </w:r>
      <w:r w:rsidR="00925CFB">
        <w:t xml:space="preserve"> ibid </w:t>
      </w:r>
      <w:r w:rsidRPr="005E46BB" w:rsidR="0090448F">
        <w:t>306-307.</w:t>
      </w:r>
    </w:p>
  </w:footnote>
  <w:footnote w:id="306">
    <w:p w:rsidRPr="00534680" w:rsidR="004B5FCC" w:rsidP="00534680" w:rsidRDefault="004B5FCC" w14:paraId="72312FBE" w14:textId="486C065C">
      <w:pPr>
        <w:rPr>
          <w:sz w:val="24"/>
          <w:szCs w:val="24"/>
        </w:rPr>
      </w:pPr>
      <w:r w:rsidRPr="005E46BB">
        <w:rPr>
          <w:rStyle w:val="FootnoteReference"/>
          <w:sz w:val="20"/>
          <w:szCs w:val="20"/>
        </w:rPr>
        <w:footnoteRef/>
      </w:r>
      <w:r w:rsidRPr="005E46BB">
        <w:rPr>
          <w:sz w:val="20"/>
          <w:szCs w:val="20"/>
        </w:rPr>
        <w:t xml:space="preserve"> </w:t>
      </w:r>
      <w:r w:rsidRPr="005E46BB" w:rsidR="00534680">
        <w:rPr>
          <w:sz w:val="20"/>
          <w:szCs w:val="20"/>
        </w:rPr>
        <w:t xml:space="preserve">Anne Preisz et al, ‘Defining the role of facilitated mediation in medical treatment decision-making for critically-ill children in the Australian clinical context’ (25 September 2022) Clinical Ethics doi.org/10.1177/14777509221 125340, </w:t>
      </w:r>
      <w:r w:rsidRPr="005E46BB" w:rsidR="005E46BB">
        <w:rPr>
          <w:sz w:val="20"/>
          <w:szCs w:val="20"/>
        </w:rPr>
        <w:t>2.</w:t>
      </w:r>
    </w:p>
  </w:footnote>
  <w:footnote w:id="307">
    <w:p w:rsidR="00C5663E" w:rsidRDefault="00C5663E" w14:paraId="35A21C4F" w14:textId="2107CD4D">
      <w:pPr>
        <w:pStyle w:val="FootnoteText"/>
      </w:pPr>
      <w:r>
        <w:rPr>
          <w:rStyle w:val="FootnoteReference"/>
        </w:rPr>
        <w:footnoteRef/>
      </w:r>
      <w:r>
        <w:t xml:space="preserve"> </w:t>
      </w:r>
      <w:r w:rsidR="00B0556D">
        <w:t>ibid</w:t>
      </w:r>
    </w:p>
  </w:footnote>
  <w:footnote w:id="308">
    <w:p w:rsidR="00155F9A" w:rsidRDefault="00155F9A" w14:paraId="4FC67204" w14:textId="45ED1CB4">
      <w:pPr>
        <w:pStyle w:val="FootnoteText"/>
      </w:pPr>
      <w:r>
        <w:rPr>
          <w:rStyle w:val="FootnoteReference"/>
        </w:rPr>
        <w:footnoteRef/>
      </w:r>
      <w:r>
        <w:t xml:space="preserve"> </w:t>
      </w:r>
      <w:r w:rsidRPr="000E2669">
        <w:t xml:space="preserve">Kartina Choong, ‘Can “Medical Futility” conflicts be mediated?’ (2018) 6 Journal of Medical Law and Ethics </w:t>
      </w:r>
      <w:r>
        <w:t>41</w:t>
      </w:r>
      <w:r w:rsidR="00E907E8">
        <w:t xml:space="preserve">, </w:t>
      </w:r>
      <w:r w:rsidR="00563E5A">
        <w:t>48.</w:t>
      </w:r>
    </w:p>
  </w:footnote>
  <w:footnote w:id="309">
    <w:p w:rsidR="00612108" w:rsidP="00AE4BD8" w:rsidRDefault="00612108" w14:paraId="279F0168" w14:textId="79A994B1">
      <w:pPr>
        <w:pStyle w:val="FootnoteText"/>
        <w:tabs>
          <w:tab w:val="left" w:pos="1240"/>
        </w:tabs>
      </w:pPr>
      <w:r>
        <w:rPr>
          <w:rStyle w:val="FootnoteReference"/>
        </w:rPr>
        <w:footnoteRef/>
      </w:r>
      <w:r>
        <w:t xml:space="preserve"> </w:t>
      </w:r>
      <w:r w:rsidRPr="004A3183" w:rsidR="00AE4BD8">
        <w:t>Auckland</w:t>
      </w:r>
      <w:r w:rsidR="00B0556D">
        <w:t xml:space="preserve"> (n</w:t>
      </w:r>
      <w:r w:rsidR="00BA78A1">
        <w:t>8</w:t>
      </w:r>
      <w:r w:rsidR="00D00BC1">
        <w:t>8</w:t>
      </w:r>
      <w:r w:rsidR="00BA78A1">
        <w:t>)</w:t>
      </w:r>
      <w:r w:rsidR="005A08B6">
        <w:t xml:space="preserve"> 665.</w:t>
      </w:r>
    </w:p>
  </w:footnote>
  <w:footnote w:id="310">
    <w:p w:rsidRPr="00693248" w:rsidR="0029723F" w:rsidP="00693248" w:rsidRDefault="0029723F" w14:paraId="39CFD40B" w14:textId="6339B508">
      <w:pPr>
        <w:rPr>
          <w:sz w:val="20"/>
          <w:szCs w:val="20"/>
        </w:rPr>
      </w:pPr>
      <w:r w:rsidRPr="001F67F3">
        <w:rPr>
          <w:rStyle w:val="FootnoteReference"/>
          <w:sz w:val="20"/>
          <w:szCs w:val="20"/>
        </w:rPr>
        <w:footnoteRef/>
      </w:r>
      <w:r w:rsidRPr="001F67F3">
        <w:rPr>
          <w:sz w:val="20"/>
          <w:szCs w:val="20"/>
        </w:rPr>
        <w:t xml:space="preserve"> </w:t>
      </w:r>
      <w:r w:rsidRPr="001F67F3" w:rsidR="00E56CFC">
        <w:rPr>
          <w:sz w:val="20"/>
          <w:szCs w:val="20"/>
        </w:rPr>
        <w:t>Auckland</w:t>
      </w:r>
      <w:r w:rsidR="00BA78A1">
        <w:rPr>
          <w:sz w:val="20"/>
          <w:szCs w:val="20"/>
        </w:rPr>
        <w:t xml:space="preserve"> (n81) </w:t>
      </w:r>
      <w:r w:rsidRPr="001F67F3" w:rsidR="001F67F3">
        <w:rPr>
          <w:sz w:val="20"/>
          <w:szCs w:val="20"/>
        </w:rPr>
        <w:t>303.</w:t>
      </w:r>
    </w:p>
  </w:footnote>
  <w:footnote w:id="311">
    <w:p w:rsidR="003F4516" w:rsidRDefault="003F4516" w14:paraId="1B966D9A" w14:textId="02ACE2CE">
      <w:pPr>
        <w:pStyle w:val="FootnoteText"/>
      </w:pPr>
      <w:r>
        <w:rPr>
          <w:rStyle w:val="FootnoteReference"/>
        </w:rPr>
        <w:footnoteRef/>
      </w:r>
      <w:r>
        <w:t xml:space="preserve"> </w:t>
      </w:r>
      <w:r w:rsidRPr="000E2669">
        <w:t>Choong</w:t>
      </w:r>
      <w:r w:rsidR="00BA78A1">
        <w:t xml:space="preserve"> (n30</w:t>
      </w:r>
      <w:r w:rsidR="00F32219">
        <w:t>7</w:t>
      </w:r>
      <w:r w:rsidR="00BA78A1">
        <w:t xml:space="preserve">) </w:t>
      </w:r>
      <w:r>
        <w:t>49.</w:t>
      </w:r>
    </w:p>
  </w:footnote>
  <w:footnote w:id="312">
    <w:p w:rsidR="00603AD5" w:rsidRDefault="00603AD5" w14:paraId="36ADC099" w14:textId="232B9297">
      <w:pPr>
        <w:pStyle w:val="FootnoteText"/>
      </w:pPr>
      <w:r>
        <w:rPr>
          <w:rStyle w:val="FootnoteReference"/>
        </w:rPr>
        <w:footnoteRef/>
      </w:r>
      <w:r>
        <w:t xml:space="preserve"> </w:t>
      </w:r>
      <w:r w:rsidR="000D79EC">
        <w:t>Sarah Barclay, ‘Approaches to Mediation and Dispute Resolution’ Radio Ombudsman</w:t>
      </w:r>
      <w:r w:rsidR="00476682">
        <w:t xml:space="preserve"> (13 April 2018)</w:t>
      </w:r>
      <w:r w:rsidR="00B63F69">
        <w:t xml:space="preserve"> </w:t>
      </w:r>
      <w:r w:rsidR="00152A16">
        <w:t>&lt;</w:t>
      </w:r>
      <w:r w:rsidRPr="00152A16" w:rsidR="00152A16">
        <w:t>https://gate.sc/?url=https%3A%2F%2Fwww.ombudsman.org.uk%2Fnews-and-blog%2Fpodcast%2Ftranscript-radio-ombudsman-3-approaches-mediation-and-dispute-resolution&amp;token=7dc1cf-1-1680394247751</w:t>
      </w:r>
      <w:r w:rsidR="00152A16">
        <w:t>&gt;</w:t>
      </w:r>
    </w:p>
  </w:footnote>
  <w:footnote w:id="313">
    <w:p w:rsidR="002256F9" w:rsidRDefault="002256F9" w14:paraId="7FA757CD" w14:textId="5CBF5C6E">
      <w:pPr>
        <w:pStyle w:val="FootnoteText"/>
      </w:pPr>
      <w:r>
        <w:rPr>
          <w:rStyle w:val="FootnoteReference"/>
        </w:rPr>
        <w:footnoteRef/>
      </w:r>
      <w:r w:rsidR="005C5E9B">
        <w:t xml:space="preserve"> </w:t>
      </w:r>
      <w:r w:rsidRPr="00355554" w:rsidR="008B60C8">
        <w:rPr>
          <w:i/>
          <w:iCs/>
        </w:rPr>
        <w:t>Barts Health NHS Trust v Hollie Dance &amp; Paul Battersbee &amp; Archie Battersbee</w:t>
      </w:r>
      <w:r w:rsidRPr="00355554" w:rsidR="008B60C8">
        <w:t xml:space="preserve"> [2022] EWHC 1435 (Fam</w:t>
      </w:r>
      <w:r w:rsidR="00047444">
        <w:t>)</w:t>
      </w:r>
      <w:r>
        <w:t xml:space="preserve"> </w:t>
      </w:r>
      <w:r w:rsidR="005C5E9B">
        <w:t>[101]</w:t>
      </w:r>
      <w:r w:rsidR="00933BCD">
        <w:t>.</w:t>
      </w:r>
    </w:p>
  </w:footnote>
  <w:footnote w:id="314">
    <w:p w:rsidRPr="00EA24CE" w:rsidR="008B60C8" w:rsidP="00EA24CE" w:rsidRDefault="008B60C8" w14:paraId="3C44FA5A" w14:textId="31302B86">
      <w:pPr>
        <w:rPr>
          <w:sz w:val="24"/>
          <w:szCs w:val="24"/>
        </w:rPr>
      </w:pPr>
      <w:r>
        <w:rPr>
          <w:rStyle w:val="FootnoteReference"/>
        </w:rPr>
        <w:footnoteRef/>
      </w:r>
      <w:r>
        <w:t xml:space="preserve"> </w:t>
      </w:r>
      <w:r w:rsidRPr="00EA24CE" w:rsidR="00EA24CE">
        <w:rPr>
          <w:i/>
          <w:iCs/>
          <w:sz w:val="20"/>
          <w:szCs w:val="20"/>
        </w:rPr>
        <w:t>Barts Health NHS Trust</w:t>
      </w:r>
      <w:r w:rsidRPr="00EA24CE" w:rsidR="00EA24CE">
        <w:rPr>
          <w:sz w:val="20"/>
          <w:szCs w:val="20"/>
        </w:rPr>
        <w:t xml:space="preserve"> v</w:t>
      </w:r>
      <w:r w:rsidRPr="00EA24CE" w:rsidR="00EA24CE">
        <w:rPr>
          <w:i/>
          <w:iCs/>
          <w:sz w:val="20"/>
          <w:szCs w:val="20"/>
        </w:rPr>
        <w:t xml:space="preserve"> Hollie Dance &amp; Paul Battersbee &amp; Archie Battersbee</w:t>
      </w:r>
      <w:r w:rsidRPr="00EA24CE" w:rsidR="00EA24CE">
        <w:rPr>
          <w:sz w:val="20"/>
          <w:szCs w:val="20"/>
        </w:rPr>
        <w:t xml:space="preserve"> [2022] EWFC 80.</w:t>
      </w:r>
    </w:p>
  </w:footnote>
  <w:footnote w:id="315">
    <w:p w:rsidR="009275EB" w:rsidP="009275EB" w:rsidRDefault="009275EB" w14:paraId="54275030" w14:textId="77777777">
      <w:pPr>
        <w:pStyle w:val="FootnoteText"/>
      </w:pPr>
      <w:r>
        <w:rPr>
          <w:rStyle w:val="FootnoteReference"/>
        </w:rPr>
        <w:footnoteRef/>
      </w:r>
      <w:r>
        <w:t xml:space="preserve"> There is some debate as to whether this would require a change to the Children Act 1989, in terms of the Welfare Principle under s1.</w:t>
      </w:r>
    </w:p>
  </w:footnote>
  <w:footnote w:id="316">
    <w:p w:rsidR="009275EB" w:rsidP="009275EB" w:rsidRDefault="009275EB" w14:paraId="033C12AF" w14:textId="77777777">
      <w:pPr>
        <w:pStyle w:val="FootnoteText"/>
      </w:pPr>
      <w:r>
        <w:rPr>
          <w:rStyle w:val="FootnoteReference"/>
        </w:rPr>
        <w:footnoteRef/>
      </w:r>
      <w:r>
        <w:t xml:space="preserve"> Rob George, ‘The legal basis of the Court’s jurisdiction to authorise medical treatment of children’ in Imogen Goold, Jonathan Herring and Cressida Auckland (eds) </w:t>
      </w:r>
      <w:r w:rsidRPr="00E83732">
        <w:rPr>
          <w:i/>
          <w:iCs/>
        </w:rPr>
        <w:t>Parental Rights, Best Interests and Significant Harms</w:t>
      </w:r>
      <w:r>
        <w:t xml:space="preserve"> (Hart 2019) 67, 68.</w:t>
      </w:r>
    </w:p>
  </w:footnote>
  <w:footnote w:id="317">
    <w:p w:rsidR="00A733D2" w:rsidRDefault="00A733D2" w14:paraId="7E603AB8" w14:textId="7961E73A">
      <w:pPr>
        <w:pStyle w:val="FootnoteText"/>
      </w:pPr>
      <w:r>
        <w:rPr>
          <w:rStyle w:val="FootnoteReference"/>
        </w:rPr>
        <w:footnoteRef/>
      </w:r>
      <w:r w:rsidRPr="004646CE">
        <w:t xml:space="preserve"> Wilkinson</w:t>
      </w:r>
      <w:r w:rsidR="00DC12B6">
        <w:t xml:space="preserve"> (n</w:t>
      </w:r>
      <w:r w:rsidR="00E127EA">
        <w:t>8</w:t>
      </w:r>
      <w:r w:rsidR="00D00BC1">
        <w:t>5</w:t>
      </w:r>
      <w:r w:rsidR="00E127EA">
        <w:t xml:space="preserve">) </w:t>
      </w:r>
      <w:r>
        <w:t>86.</w:t>
      </w:r>
    </w:p>
  </w:footnote>
  <w:footnote w:id="318">
    <w:p w:rsidRPr="00E72863" w:rsidR="00374214" w:rsidP="00E72863" w:rsidRDefault="00374214" w14:paraId="1B811767" w14:textId="33D7405B">
      <w:pPr>
        <w:rPr>
          <w:sz w:val="20"/>
          <w:szCs w:val="20"/>
        </w:rPr>
      </w:pPr>
      <w:r w:rsidRPr="00E72863">
        <w:rPr>
          <w:rStyle w:val="FootnoteReference"/>
          <w:sz w:val="20"/>
          <w:szCs w:val="20"/>
        </w:rPr>
        <w:footnoteRef/>
      </w:r>
      <w:r w:rsidRPr="00E72863">
        <w:rPr>
          <w:sz w:val="20"/>
          <w:szCs w:val="20"/>
        </w:rPr>
        <w:t xml:space="preserve"> For example</w:t>
      </w:r>
      <w:r w:rsidR="008559FE">
        <w:rPr>
          <w:sz w:val="20"/>
          <w:szCs w:val="20"/>
        </w:rPr>
        <w:t>,</w:t>
      </w:r>
      <w:r w:rsidRPr="00E72863">
        <w:rPr>
          <w:sz w:val="20"/>
          <w:szCs w:val="20"/>
        </w:rPr>
        <w:t xml:space="preserve"> see</w:t>
      </w:r>
      <w:r w:rsidRPr="00E72863" w:rsidR="00E72863">
        <w:rPr>
          <w:sz w:val="20"/>
          <w:szCs w:val="20"/>
        </w:rPr>
        <w:t xml:space="preserve"> Auckland </w:t>
      </w:r>
      <w:r w:rsidR="00E127EA">
        <w:rPr>
          <w:sz w:val="20"/>
          <w:szCs w:val="20"/>
        </w:rPr>
        <w:t xml:space="preserve">(n81) </w:t>
      </w:r>
      <w:r w:rsidRPr="00E72863" w:rsidR="00E72863">
        <w:rPr>
          <w:sz w:val="20"/>
          <w:szCs w:val="20"/>
        </w:rPr>
        <w:t>287.</w:t>
      </w:r>
    </w:p>
  </w:footnote>
  <w:footnote w:id="319">
    <w:p w:rsidR="009275EB" w:rsidP="009275EB" w:rsidRDefault="009275EB" w14:paraId="32A56B4A" w14:textId="77777777">
      <w:pPr>
        <w:pStyle w:val="FootnoteText"/>
      </w:pPr>
      <w:r>
        <w:rPr>
          <w:rStyle w:val="FootnoteReference"/>
        </w:rPr>
        <w:footnoteRef/>
      </w:r>
      <w:r>
        <w:t xml:space="preserve"> Children Act 1989 s31.</w:t>
      </w:r>
    </w:p>
  </w:footnote>
  <w:footnote w:id="320">
    <w:p w:rsidR="009275EB" w:rsidP="009275EB" w:rsidRDefault="009275EB" w14:paraId="0F11B3B4" w14:textId="26A715A7">
      <w:pPr>
        <w:pStyle w:val="FootnoteText"/>
      </w:pPr>
      <w:r>
        <w:rPr>
          <w:rStyle w:val="FootnoteReference"/>
        </w:rPr>
        <w:footnoteRef/>
      </w:r>
      <w:r>
        <w:t xml:space="preserve"> Birchley</w:t>
      </w:r>
      <w:r w:rsidR="0069317B">
        <w:t xml:space="preserve"> (n26)</w:t>
      </w:r>
      <w:r w:rsidR="00415CCE">
        <w:t xml:space="preserve"> </w:t>
      </w:r>
      <w:r>
        <w:t>110.</w:t>
      </w:r>
    </w:p>
  </w:footnote>
  <w:footnote w:id="321">
    <w:p w:rsidRPr="00C045AC" w:rsidR="009275EB" w:rsidP="009275EB" w:rsidRDefault="009275EB" w14:paraId="3527C540" w14:textId="5F8FFE68">
      <w:pPr>
        <w:pStyle w:val="FootnoteText"/>
      </w:pPr>
      <w:r w:rsidRPr="00C045AC">
        <w:rPr>
          <w:rStyle w:val="FootnoteReference"/>
        </w:rPr>
        <w:footnoteRef/>
      </w:r>
      <w:r w:rsidRPr="00C045AC">
        <w:t xml:space="preserve"> Pruski</w:t>
      </w:r>
      <w:r w:rsidR="0069317B">
        <w:t xml:space="preserve"> (n</w:t>
      </w:r>
      <w:r w:rsidR="00957A07">
        <w:t xml:space="preserve">71) </w:t>
      </w:r>
      <w:r w:rsidRPr="00C045AC">
        <w:t>88.</w:t>
      </w:r>
    </w:p>
  </w:footnote>
  <w:footnote w:id="322">
    <w:p w:rsidR="009275EB" w:rsidP="009275EB" w:rsidRDefault="009275EB" w14:paraId="51C6FF51" w14:textId="2EF51A02">
      <w:pPr>
        <w:pStyle w:val="FootnoteText"/>
      </w:pPr>
      <w:r>
        <w:rPr>
          <w:rStyle w:val="FootnoteReference"/>
        </w:rPr>
        <w:footnoteRef/>
      </w:r>
      <w:r>
        <w:t xml:space="preserve"> Birchley</w:t>
      </w:r>
      <w:r w:rsidR="00957A07">
        <w:t xml:space="preserve"> (n26) </w:t>
      </w:r>
      <w:r>
        <w:t>128.</w:t>
      </w:r>
    </w:p>
  </w:footnote>
  <w:footnote w:id="323">
    <w:p w:rsidR="009275EB" w:rsidP="009275EB" w:rsidRDefault="009275EB" w14:paraId="5A3DA2D0" w14:textId="4D3B9EB5">
      <w:pPr>
        <w:pStyle w:val="FootnoteText"/>
      </w:pPr>
      <w:r>
        <w:rPr>
          <w:rStyle w:val="FootnoteReference"/>
        </w:rPr>
        <w:footnoteRef/>
      </w:r>
      <w:r>
        <w:t xml:space="preserve"> Katie Gollop </w:t>
      </w:r>
      <w:r w:rsidR="00707AA4">
        <w:t>(n</w:t>
      </w:r>
      <w:r w:rsidR="00245719">
        <w:t>12</w:t>
      </w:r>
      <w:r w:rsidR="00F32219">
        <w:t>8</w:t>
      </w:r>
      <w:r w:rsidR="00245719">
        <w:t>)</w:t>
      </w:r>
      <w:r w:rsidR="00415CCE">
        <w:t>.</w:t>
      </w:r>
    </w:p>
  </w:footnote>
  <w:footnote w:id="324">
    <w:p w:rsidR="00FB5793" w:rsidP="00FB5793" w:rsidRDefault="00FB5793" w14:paraId="421C2CEB" w14:textId="2298E0BA">
      <w:pPr>
        <w:pStyle w:val="FootnoteText"/>
      </w:pPr>
      <w:r>
        <w:rPr>
          <w:rStyle w:val="FootnoteReference"/>
        </w:rPr>
        <w:footnoteRef/>
      </w:r>
      <w:r>
        <w:t xml:space="preserve"> </w:t>
      </w:r>
      <w:r w:rsidR="00245719">
        <w:t>ibid</w:t>
      </w:r>
      <w:r>
        <w:t>.</w:t>
      </w:r>
    </w:p>
  </w:footnote>
  <w:footnote w:id="325">
    <w:p w:rsidRPr="0071101F" w:rsidR="009275EB" w:rsidP="003E07CB" w:rsidRDefault="009275EB" w14:paraId="099BDDFB" w14:textId="7483B450">
      <w:pPr>
        <w:rPr>
          <w:sz w:val="20"/>
          <w:szCs w:val="20"/>
        </w:rPr>
      </w:pPr>
      <w:r w:rsidRPr="0071101F">
        <w:rPr>
          <w:rStyle w:val="FootnoteReference"/>
          <w:sz w:val="20"/>
          <w:szCs w:val="20"/>
        </w:rPr>
        <w:footnoteRef/>
      </w:r>
      <w:r w:rsidRPr="0071101F">
        <w:rPr>
          <w:sz w:val="20"/>
          <w:szCs w:val="20"/>
        </w:rPr>
        <w:t xml:space="preserve"> </w:t>
      </w:r>
      <w:r w:rsidRPr="0071101F" w:rsidR="003E07CB">
        <w:rPr>
          <w:sz w:val="20"/>
          <w:szCs w:val="20"/>
        </w:rPr>
        <w:t>Archard</w:t>
      </w:r>
      <w:r w:rsidR="00245719">
        <w:rPr>
          <w:sz w:val="20"/>
          <w:szCs w:val="20"/>
        </w:rPr>
        <w:t xml:space="preserve"> (n</w:t>
      </w:r>
      <w:r w:rsidR="00CB19CE">
        <w:rPr>
          <w:sz w:val="20"/>
          <w:szCs w:val="20"/>
        </w:rPr>
        <w:t>1</w:t>
      </w:r>
      <w:r w:rsidR="003568C2">
        <w:rPr>
          <w:sz w:val="20"/>
          <w:szCs w:val="20"/>
        </w:rPr>
        <w:t>2</w:t>
      </w:r>
      <w:r w:rsidR="00F32219">
        <w:rPr>
          <w:sz w:val="20"/>
          <w:szCs w:val="20"/>
        </w:rPr>
        <w:t>1</w:t>
      </w:r>
      <w:r w:rsidR="00CB19CE">
        <w:rPr>
          <w:sz w:val="20"/>
          <w:szCs w:val="20"/>
        </w:rPr>
        <w:t>)</w:t>
      </w:r>
      <w:r w:rsidRPr="0071101F" w:rsidR="003E07CB">
        <w:rPr>
          <w:sz w:val="20"/>
          <w:szCs w:val="20"/>
        </w:rPr>
        <w:t xml:space="preserve"> </w:t>
      </w:r>
      <w:r w:rsidRPr="0071101F" w:rsidR="0071101F">
        <w:rPr>
          <w:sz w:val="20"/>
          <w:szCs w:val="20"/>
        </w:rPr>
        <w:t>99.</w:t>
      </w:r>
    </w:p>
  </w:footnote>
  <w:footnote w:id="326">
    <w:p w:rsidR="009275EB" w:rsidP="009275EB" w:rsidRDefault="009275EB" w14:paraId="3B9FA68C" w14:textId="743DDC21">
      <w:pPr>
        <w:pStyle w:val="FootnoteText"/>
      </w:pPr>
      <w:r>
        <w:rPr>
          <w:rStyle w:val="FootnoteReference"/>
        </w:rPr>
        <w:footnoteRef/>
      </w:r>
      <w:r>
        <w:t xml:space="preserve"> Birchley</w:t>
      </w:r>
      <w:r w:rsidR="00CB19CE">
        <w:t xml:space="preserve"> (n26)</w:t>
      </w:r>
      <w:r w:rsidR="00415CCE">
        <w:t xml:space="preserve"> </w:t>
      </w:r>
      <w:r>
        <w:t>128.</w:t>
      </w:r>
    </w:p>
  </w:footnote>
  <w:footnote w:id="327">
    <w:p w:rsidR="009275EB" w:rsidP="009275EB" w:rsidRDefault="009275EB" w14:paraId="76C523D2" w14:textId="77777777">
      <w:pPr>
        <w:pStyle w:val="FootnoteText"/>
      </w:pPr>
      <w:r>
        <w:rPr>
          <w:rStyle w:val="FootnoteReference"/>
        </w:rPr>
        <w:footnoteRef/>
      </w:r>
      <w:r>
        <w:t xml:space="preserve"> Emma Cave and Emma Nottingham, ‘Who knows Best (interests)? The case of Charlie Gard’ (2017) 26 Medical Law Review 500.</w:t>
      </w:r>
    </w:p>
  </w:footnote>
  <w:footnote w:id="328">
    <w:p w:rsidRPr="007970BD" w:rsidR="009275EB" w:rsidP="009275EB" w:rsidRDefault="009275EB" w14:paraId="03FC1CC3" w14:textId="0229B954">
      <w:pPr>
        <w:rPr>
          <w:sz w:val="24"/>
          <w:szCs w:val="24"/>
        </w:rPr>
      </w:pPr>
      <w:r>
        <w:rPr>
          <w:rStyle w:val="FootnoteReference"/>
        </w:rPr>
        <w:footnoteRef/>
      </w:r>
      <w:r>
        <w:t xml:space="preserve"> </w:t>
      </w:r>
      <w:r w:rsidRPr="004646CE">
        <w:rPr>
          <w:sz w:val="20"/>
          <w:szCs w:val="20"/>
        </w:rPr>
        <w:t>Wilkinson</w:t>
      </w:r>
      <w:r w:rsidR="003B12A9">
        <w:rPr>
          <w:sz w:val="20"/>
          <w:szCs w:val="20"/>
        </w:rPr>
        <w:t xml:space="preserve"> (n8</w:t>
      </w:r>
      <w:r w:rsidR="003568C2">
        <w:rPr>
          <w:sz w:val="20"/>
          <w:szCs w:val="20"/>
        </w:rPr>
        <w:t>5</w:t>
      </w:r>
      <w:r w:rsidR="003B12A9">
        <w:rPr>
          <w:sz w:val="20"/>
          <w:szCs w:val="20"/>
        </w:rPr>
        <w:t xml:space="preserve">) </w:t>
      </w:r>
      <w:r w:rsidRPr="004646CE">
        <w:rPr>
          <w:sz w:val="20"/>
          <w:szCs w:val="20"/>
        </w:rPr>
        <w:t>92-93.</w:t>
      </w:r>
    </w:p>
  </w:footnote>
  <w:footnote w:id="329">
    <w:p w:rsidR="009275EB" w:rsidP="009275EB" w:rsidRDefault="009275EB" w14:paraId="79E826D9" w14:textId="27061B32">
      <w:pPr>
        <w:pStyle w:val="FootnoteText"/>
      </w:pPr>
      <w:r>
        <w:rPr>
          <w:rStyle w:val="FootnoteReference"/>
        </w:rPr>
        <w:footnoteRef/>
      </w:r>
      <w:r>
        <w:t xml:space="preserve"> Birchley</w:t>
      </w:r>
      <w:r w:rsidR="003B12A9">
        <w:t xml:space="preserve"> (n26)</w:t>
      </w:r>
      <w:r>
        <w:t xml:space="preserve"> 113.</w:t>
      </w:r>
    </w:p>
  </w:footnote>
  <w:footnote w:id="330">
    <w:p w:rsidR="009275EB" w:rsidP="009275EB" w:rsidRDefault="009275EB" w14:paraId="5A275402" w14:textId="77777777">
      <w:pPr>
        <w:pStyle w:val="FootnoteText"/>
      </w:pPr>
      <w:r>
        <w:rPr>
          <w:rStyle w:val="FootnoteReference"/>
        </w:rPr>
        <w:footnoteRef/>
      </w:r>
      <w:r>
        <w:t xml:space="preserve"> Imogen Goold,’Evaluating Best Interests as a Threshold for Judicial Intervention in Medical-Decision Making on behalf of Children’ in Imogen Goold, Jonathan Herring and Cressida Auckland (eds) </w:t>
      </w:r>
      <w:r w:rsidRPr="00E83732">
        <w:rPr>
          <w:i/>
          <w:iCs/>
        </w:rPr>
        <w:t>Parental Rights, Best Interests and Significant Harms</w:t>
      </w:r>
      <w:r>
        <w:t xml:space="preserve"> (Hart 2019) 29, 44.</w:t>
      </w:r>
    </w:p>
  </w:footnote>
  <w:footnote w:id="331">
    <w:p w:rsidR="009275EB" w:rsidP="009275EB" w:rsidRDefault="009275EB" w14:paraId="31CEB043" w14:textId="38C31C83">
      <w:pPr>
        <w:pStyle w:val="FootnoteText"/>
      </w:pPr>
      <w:r>
        <w:rPr>
          <w:rStyle w:val="FootnoteReference"/>
        </w:rPr>
        <w:footnoteRef/>
      </w:r>
      <w:r>
        <w:t xml:space="preserve"> Birchley</w:t>
      </w:r>
      <w:r w:rsidR="008E7FF9">
        <w:t xml:space="preserve"> (n26) </w:t>
      </w:r>
      <w:r>
        <w:t>127.</w:t>
      </w:r>
    </w:p>
  </w:footnote>
  <w:footnote w:id="332">
    <w:p w:rsidR="0053637D" w:rsidRDefault="0053637D" w14:paraId="458418B9" w14:textId="2CB1CE9F">
      <w:pPr>
        <w:pStyle w:val="FootnoteText"/>
      </w:pPr>
      <w:r>
        <w:rPr>
          <w:rStyle w:val="FootnoteReference"/>
        </w:rPr>
        <w:footnoteRef/>
      </w:r>
      <w:r w:rsidR="008E7FF9">
        <w:t xml:space="preserve"> </w:t>
      </w:r>
      <w:r w:rsidRPr="0071101F" w:rsidR="0062713D">
        <w:t>Archard</w:t>
      </w:r>
      <w:r w:rsidR="008E7FF9">
        <w:t xml:space="preserve"> (n1</w:t>
      </w:r>
      <w:r w:rsidR="003568C2">
        <w:t>2</w:t>
      </w:r>
      <w:r w:rsidR="00F32219">
        <w:t>1</w:t>
      </w:r>
      <w:r w:rsidR="008E7FF9">
        <w:t>)</w:t>
      </w:r>
      <w:r w:rsidR="00415CCE">
        <w:t xml:space="preserve"> </w:t>
      </w:r>
      <w:r w:rsidR="002A6CFE">
        <w:t>105</w:t>
      </w:r>
      <w:r w:rsidR="0062713D">
        <w:t>.</w:t>
      </w:r>
    </w:p>
  </w:footnote>
  <w:footnote w:id="333">
    <w:p w:rsidR="009275EB" w:rsidP="009275EB" w:rsidRDefault="009275EB" w14:paraId="614CC484" w14:textId="2476AE9E">
      <w:pPr>
        <w:pStyle w:val="FootnoteText"/>
      </w:pPr>
      <w:r>
        <w:rPr>
          <w:rStyle w:val="FootnoteReference"/>
        </w:rPr>
        <w:footnoteRef/>
      </w:r>
      <w:r>
        <w:t xml:space="preserve"> Birchley</w:t>
      </w:r>
      <w:r w:rsidR="008E7FF9">
        <w:t xml:space="preserve"> (n26) </w:t>
      </w:r>
      <w:r>
        <w:t>129.</w:t>
      </w:r>
    </w:p>
  </w:footnote>
  <w:footnote w:id="334">
    <w:p w:rsidR="009275EB" w:rsidP="009275EB" w:rsidRDefault="009275EB" w14:paraId="591BF569" w14:textId="77777777">
      <w:pPr>
        <w:pStyle w:val="FootnoteText"/>
      </w:pPr>
      <w:r>
        <w:rPr>
          <w:rStyle w:val="FootnoteReference"/>
        </w:rPr>
        <w:footnoteRef/>
      </w:r>
      <w:r>
        <w:t xml:space="preserve"> Rachel Taylor, ‘Parental Decisions and Court Jurisdiction: Best Interests or Significant Harm’ in Imogen Goold, Jonathan Herring and Cressida Auckland (eds) </w:t>
      </w:r>
      <w:r w:rsidRPr="00E83732">
        <w:rPr>
          <w:i/>
          <w:iCs/>
        </w:rPr>
        <w:t>Parental Rights, Best Interests and Significant Harms</w:t>
      </w:r>
      <w:r>
        <w:t xml:space="preserve"> (Hart 2019) 49, 65.</w:t>
      </w:r>
    </w:p>
  </w:footnote>
  <w:footnote w:id="335">
    <w:p w:rsidR="009275EB" w:rsidP="009275EB" w:rsidRDefault="009275EB" w14:paraId="20A2A7D8" w14:textId="490142B6">
      <w:pPr>
        <w:pStyle w:val="FootnoteText"/>
      </w:pPr>
      <w:r>
        <w:rPr>
          <w:rStyle w:val="FootnoteReference"/>
        </w:rPr>
        <w:footnoteRef/>
      </w:r>
      <w:r w:rsidR="005E7825">
        <w:t xml:space="preserve"> </w:t>
      </w:r>
      <w:r w:rsidR="003110CC">
        <w:t>D</w:t>
      </w:r>
      <w:r w:rsidR="00930D4E">
        <w:t>ominic</w:t>
      </w:r>
      <w:r>
        <w:t xml:space="preserve"> </w:t>
      </w:r>
      <w:r w:rsidRPr="00453C41" w:rsidR="00453C41">
        <w:t>Wilkinson</w:t>
      </w:r>
      <w:r w:rsidR="003110CC">
        <w:t xml:space="preserve"> </w:t>
      </w:r>
      <w:r w:rsidRPr="00453C41" w:rsidR="00453C41">
        <w:t xml:space="preserve">and </w:t>
      </w:r>
      <w:r w:rsidR="003110CC">
        <w:t>T</w:t>
      </w:r>
      <w:r w:rsidR="00930D4E">
        <w:t>ara</w:t>
      </w:r>
      <w:r w:rsidR="003110CC">
        <w:t xml:space="preserve"> </w:t>
      </w:r>
      <w:r w:rsidRPr="00453C41" w:rsidR="00453C41">
        <w:t>Nair</w:t>
      </w:r>
      <w:r w:rsidR="003110CC">
        <w:t>, ‘</w:t>
      </w:r>
      <w:r w:rsidRPr="00453C41" w:rsidR="00453C41">
        <w:t>Harm isn’t all you need: parental discretion and medical decisions for a child</w:t>
      </w:r>
      <w:r w:rsidR="003110CC">
        <w:t xml:space="preserve">’ (2016) </w:t>
      </w:r>
      <w:r w:rsidR="005E7825">
        <w:t>42(2)</w:t>
      </w:r>
      <w:r w:rsidRPr="00453C41" w:rsidR="00453C41">
        <w:t xml:space="preserve"> Journal of Medical Ethics 11</w:t>
      </w:r>
      <w:r w:rsidR="005E7825">
        <w:t>6.</w:t>
      </w:r>
    </w:p>
  </w:footnote>
  <w:footnote w:id="336">
    <w:p w:rsidR="00855FA5" w:rsidRDefault="00855FA5" w14:paraId="0CB95E4A" w14:textId="2E747754">
      <w:pPr>
        <w:pStyle w:val="FootnoteText"/>
      </w:pPr>
      <w:r>
        <w:rPr>
          <w:rStyle w:val="FootnoteReference"/>
        </w:rPr>
        <w:footnoteRef/>
      </w:r>
      <w:r>
        <w:t xml:space="preserve"> </w:t>
      </w:r>
      <w:r w:rsidRPr="00296E9E" w:rsidR="00296E9E">
        <w:t>D</w:t>
      </w:r>
      <w:r w:rsidR="00296E9E">
        <w:t xml:space="preserve">ouglas </w:t>
      </w:r>
      <w:r w:rsidRPr="00296E9E" w:rsidR="00296E9E">
        <w:t xml:space="preserve">Diekema, </w:t>
      </w:r>
      <w:r w:rsidR="00296E9E">
        <w:t>‘</w:t>
      </w:r>
      <w:r w:rsidRPr="00296E9E" w:rsidR="00296E9E">
        <w:t>Parental Refusals of Medical Treatment: The Harm Principle as Threshold for State Intervention</w:t>
      </w:r>
      <w:r w:rsidR="00296E9E">
        <w:t xml:space="preserve">’ </w:t>
      </w:r>
      <w:r w:rsidRPr="00296E9E" w:rsidR="00296E9E">
        <w:t>(2004) 25(4) Philosophy of Medical Research and Practice 243</w:t>
      </w:r>
      <w:r w:rsidR="00296E9E">
        <w:t>, 249.</w:t>
      </w:r>
    </w:p>
  </w:footnote>
  <w:footnote w:id="337">
    <w:p w:rsidR="009275EB" w:rsidP="009275EB" w:rsidRDefault="009275EB" w14:paraId="1B0DD61F" w14:textId="73DBEA65">
      <w:pPr>
        <w:pStyle w:val="FootnoteText"/>
      </w:pPr>
      <w:r>
        <w:rPr>
          <w:rStyle w:val="FootnoteReference"/>
        </w:rPr>
        <w:footnoteRef/>
      </w:r>
      <w:r>
        <w:t xml:space="preserve"> Goold</w:t>
      </w:r>
      <w:r w:rsidR="00371F8A">
        <w:t xml:space="preserve"> (n32</w:t>
      </w:r>
      <w:r w:rsidR="00F32219">
        <w:t>8</w:t>
      </w:r>
      <w:r w:rsidR="00371F8A">
        <w:t xml:space="preserve">) </w:t>
      </w:r>
      <w:r>
        <w:t>43.</w:t>
      </w:r>
    </w:p>
  </w:footnote>
  <w:footnote w:id="338">
    <w:p w:rsidR="009275EB" w:rsidP="009275EB" w:rsidRDefault="009275EB" w14:paraId="7CDC3621" w14:textId="54E0187D">
      <w:pPr>
        <w:pStyle w:val="FootnoteText"/>
      </w:pPr>
      <w:r>
        <w:rPr>
          <w:rStyle w:val="FootnoteReference"/>
        </w:rPr>
        <w:footnoteRef/>
      </w:r>
      <w:r>
        <w:t xml:space="preserve"> </w:t>
      </w:r>
      <w:r w:rsidR="00415CCE">
        <w:t>i</w:t>
      </w:r>
      <w:r w:rsidR="00371F8A">
        <w:t>bid</w:t>
      </w:r>
      <w:r w:rsidR="00415CCE">
        <w:t>.</w:t>
      </w:r>
    </w:p>
  </w:footnote>
  <w:footnote w:id="339">
    <w:p w:rsidRPr="009230DF" w:rsidR="006B3BF2" w:rsidP="005C4E0B" w:rsidRDefault="006B3BF2" w14:paraId="71453B27" w14:textId="20A96ACB">
      <w:pPr>
        <w:rPr>
          <w:sz w:val="20"/>
          <w:szCs w:val="20"/>
        </w:rPr>
      </w:pPr>
      <w:r w:rsidRPr="009230DF">
        <w:rPr>
          <w:rStyle w:val="FootnoteReference"/>
          <w:sz w:val="20"/>
          <w:szCs w:val="20"/>
        </w:rPr>
        <w:footnoteRef/>
      </w:r>
      <w:r w:rsidRPr="009230DF">
        <w:rPr>
          <w:sz w:val="20"/>
          <w:szCs w:val="20"/>
        </w:rPr>
        <w:t xml:space="preserve"> </w:t>
      </w:r>
      <w:r w:rsidRPr="009230DF" w:rsidR="005C4E0B">
        <w:rPr>
          <w:sz w:val="20"/>
          <w:szCs w:val="20"/>
        </w:rPr>
        <w:t xml:space="preserve"> Tara Nair et al, ‘Settling for second best: When should doctors agree to parental demands for suboptimal medical treatment?’ (2017) 43(12) J Med Ethics 831, </w:t>
      </w:r>
      <w:r w:rsidRPr="009230DF" w:rsidR="009230DF">
        <w:rPr>
          <w:sz w:val="20"/>
          <w:szCs w:val="20"/>
        </w:rPr>
        <w:t>839.</w:t>
      </w:r>
    </w:p>
  </w:footnote>
  <w:footnote w:id="340">
    <w:p w:rsidRPr="00EB717A" w:rsidR="00130C9D" w:rsidP="00EB717A" w:rsidRDefault="00130C9D" w14:paraId="61B0824D" w14:textId="11ED1062">
      <w:pPr>
        <w:rPr>
          <w:sz w:val="20"/>
          <w:szCs w:val="20"/>
        </w:rPr>
      </w:pPr>
      <w:r w:rsidRPr="00EB717A">
        <w:rPr>
          <w:rStyle w:val="FootnoteReference"/>
          <w:sz w:val="20"/>
          <w:szCs w:val="20"/>
        </w:rPr>
        <w:footnoteRef/>
      </w:r>
      <w:r w:rsidRPr="00EB717A">
        <w:rPr>
          <w:sz w:val="20"/>
          <w:szCs w:val="20"/>
        </w:rPr>
        <w:t xml:space="preserve"> </w:t>
      </w:r>
      <w:r w:rsidRPr="00EB717A" w:rsidR="00EB717A">
        <w:rPr>
          <w:sz w:val="20"/>
          <w:szCs w:val="20"/>
        </w:rPr>
        <w:t>Auckland</w:t>
      </w:r>
      <w:r w:rsidR="005C7BF9">
        <w:rPr>
          <w:sz w:val="20"/>
          <w:szCs w:val="20"/>
        </w:rPr>
        <w:t xml:space="preserve"> (n81) </w:t>
      </w:r>
      <w:r w:rsidR="00A27203">
        <w:rPr>
          <w:sz w:val="20"/>
          <w:szCs w:val="20"/>
        </w:rPr>
        <w:t>315.</w:t>
      </w:r>
    </w:p>
  </w:footnote>
  <w:footnote w:id="341">
    <w:p w:rsidR="009275EB" w:rsidP="009275EB" w:rsidRDefault="009275EB" w14:paraId="27158C25" w14:textId="341862FB">
      <w:pPr>
        <w:pStyle w:val="FootnoteText"/>
      </w:pPr>
      <w:r>
        <w:rPr>
          <w:rStyle w:val="FootnoteReference"/>
        </w:rPr>
        <w:footnoteRef/>
      </w:r>
      <w:r>
        <w:t xml:space="preserve"> J</w:t>
      </w:r>
      <w:r w:rsidR="00010BCE">
        <w:t xml:space="preserve">ohan </w:t>
      </w:r>
      <w:r>
        <w:t>C Bester, ‘The Harm Principle cannot replace the Best Interests standard: Problems with using the Harm Principle for medical decisions for children’ (2018) 18 American Journal of Bioethics 9</w:t>
      </w:r>
      <w:r w:rsidR="00415CCE">
        <w:t>.</w:t>
      </w:r>
    </w:p>
  </w:footnote>
  <w:footnote w:id="342">
    <w:p w:rsidRPr="002A2345" w:rsidR="009275EB" w:rsidP="009275EB" w:rsidRDefault="009275EB" w14:paraId="00AE4089" w14:textId="5DC4E416">
      <w:pPr>
        <w:pStyle w:val="FootnoteText"/>
        <w:rPr>
          <w:lang w:val="de-DE"/>
        </w:rPr>
      </w:pPr>
      <w:r>
        <w:rPr>
          <w:rStyle w:val="FootnoteReference"/>
        </w:rPr>
        <w:footnoteRef/>
      </w:r>
      <w:r w:rsidRPr="002A2345">
        <w:rPr>
          <w:lang w:val="de-DE"/>
        </w:rPr>
        <w:t xml:space="preserve">  Birchley</w:t>
      </w:r>
      <w:r w:rsidRPr="002A2345" w:rsidR="00771F39">
        <w:rPr>
          <w:lang w:val="de-DE"/>
        </w:rPr>
        <w:t xml:space="preserve"> (n26) </w:t>
      </w:r>
      <w:r w:rsidRPr="002A2345">
        <w:rPr>
          <w:lang w:val="de-DE"/>
        </w:rPr>
        <w:t>119.</w:t>
      </w:r>
    </w:p>
  </w:footnote>
  <w:footnote w:id="343">
    <w:p w:rsidRPr="002A2345" w:rsidR="00C00531" w:rsidP="00C00531" w:rsidRDefault="00C00531" w14:paraId="685EE15E" w14:textId="29B78FBE">
      <w:pPr>
        <w:pStyle w:val="FootnoteText"/>
        <w:rPr>
          <w:lang w:val="de-DE"/>
        </w:rPr>
      </w:pPr>
      <w:r>
        <w:rPr>
          <w:rStyle w:val="FootnoteReference"/>
        </w:rPr>
        <w:footnoteRef/>
      </w:r>
      <w:r w:rsidRPr="002A2345">
        <w:rPr>
          <w:lang w:val="de-DE"/>
        </w:rPr>
        <w:t xml:space="preserve"> Gollop</w:t>
      </w:r>
      <w:r w:rsidRPr="002A2345" w:rsidR="00E66287">
        <w:rPr>
          <w:lang w:val="de-DE"/>
        </w:rPr>
        <w:t xml:space="preserve"> </w:t>
      </w:r>
      <w:r w:rsidRPr="002A2345" w:rsidR="00ED4D86">
        <w:rPr>
          <w:lang w:val="de-DE"/>
        </w:rPr>
        <w:t>(n</w:t>
      </w:r>
      <w:r w:rsidRPr="002A2345" w:rsidR="00E66287">
        <w:rPr>
          <w:lang w:val="de-DE"/>
        </w:rPr>
        <w:t>12</w:t>
      </w:r>
      <w:r w:rsidRPr="002A2345" w:rsidR="00A54418">
        <w:rPr>
          <w:lang w:val="de-DE"/>
        </w:rPr>
        <w:t>8</w:t>
      </w:r>
      <w:r w:rsidRPr="002A2345" w:rsidR="00E66287">
        <w:rPr>
          <w:lang w:val="de-DE"/>
        </w:rPr>
        <w:t>)</w:t>
      </w:r>
      <w:r w:rsidRPr="002A2345" w:rsidR="00415CCE">
        <w:rPr>
          <w:lang w:val="de-DE"/>
        </w:rPr>
        <w:t>.</w:t>
      </w:r>
    </w:p>
  </w:footnote>
  <w:footnote w:id="344">
    <w:p w:rsidRPr="002A2345" w:rsidR="009275EB" w:rsidP="009275EB" w:rsidRDefault="009275EB" w14:paraId="37EE7A1F" w14:textId="3E97AA8A">
      <w:pPr>
        <w:pStyle w:val="FootnoteText"/>
        <w:rPr>
          <w:lang w:val="de-DE"/>
        </w:rPr>
      </w:pPr>
      <w:r>
        <w:rPr>
          <w:rStyle w:val="FootnoteReference"/>
        </w:rPr>
        <w:footnoteRef/>
      </w:r>
      <w:r w:rsidRPr="002A2345">
        <w:rPr>
          <w:lang w:val="de-DE"/>
        </w:rPr>
        <w:t xml:space="preserve"> </w:t>
      </w:r>
      <w:r w:rsidRPr="002A2345" w:rsidR="00C00531">
        <w:rPr>
          <w:lang w:val="de-DE"/>
        </w:rPr>
        <w:t xml:space="preserve"> Bester</w:t>
      </w:r>
      <w:r w:rsidRPr="002A2345" w:rsidR="00E66287">
        <w:rPr>
          <w:lang w:val="de-DE"/>
        </w:rPr>
        <w:t xml:space="preserve"> (n3</w:t>
      </w:r>
      <w:r w:rsidRPr="002A2345" w:rsidR="00A54418">
        <w:rPr>
          <w:lang w:val="de-DE"/>
        </w:rPr>
        <w:t>40</w:t>
      </w:r>
      <w:r w:rsidRPr="002A2345" w:rsidR="00E66287">
        <w:rPr>
          <w:lang w:val="de-DE"/>
        </w:rPr>
        <w:t xml:space="preserve">) </w:t>
      </w:r>
      <w:r w:rsidRPr="002A2345" w:rsidR="00802BBD">
        <w:rPr>
          <w:lang w:val="de-DE"/>
        </w:rPr>
        <w:t>15.</w:t>
      </w:r>
    </w:p>
  </w:footnote>
  <w:footnote w:id="345">
    <w:p w:rsidRPr="002A2345" w:rsidR="009275EB" w:rsidP="009275EB" w:rsidRDefault="009275EB" w14:paraId="52CFD380" w14:textId="60E18B14">
      <w:pPr>
        <w:pStyle w:val="FootnoteText"/>
        <w:rPr>
          <w:lang w:val="de-DE"/>
        </w:rPr>
      </w:pPr>
      <w:r>
        <w:rPr>
          <w:rStyle w:val="FootnoteReference"/>
        </w:rPr>
        <w:footnoteRef/>
      </w:r>
      <w:r w:rsidRPr="002A2345">
        <w:rPr>
          <w:lang w:val="de-DE"/>
        </w:rPr>
        <w:t xml:space="preserve"> Gollop </w:t>
      </w:r>
      <w:r w:rsidRPr="002A2345" w:rsidR="00E66287">
        <w:rPr>
          <w:lang w:val="de-DE"/>
        </w:rPr>
        <w:t>(n12</w:t>
      </w:r>
      <w:r w:rsidRPr="002A2345" w:rsidR="00A54418">
        <w:rPr>
          <w:lang w:val="de-DE"/>
        </w:rPr>
        <w:t>8</w:t>
      </w:r>
      <w:r w:rsidRPr="002A2345" w:rsidR="00E66287">
        <w:rPr>
          <w:lang w:val="de-DE"/>
        </w:rPr>
        <w:t>)</w:t>
      </w:r>
      <w:r w:rsidRPr="002A2345" w:rsidR="00415CCE">
        <w:rPr>
          <w:lang w:val="de-DE"/>
        </w:rPr>
        <w:t>.</w:t>
      </w:r>
    </w:p>
  </w:footnote>
  <w:footnote w:id="346">
    <w:p w:rsidRPr="002A2345" w:rsidR="009275EB" w:rsidP="009275EB" w:rsidRDefault="009275EB" w14:paraId="09F1AB72" w14:textId="735B808E">
      <w:pPr>
        <w:pStyle w:val="FootnoteText"/>
        <w:rPr>
          <w:lang w:val="de-DE"/>
        </w:rPr>
      </w:pPr>
      <w:r>
        <w:rPr>
          <w:rStyle w:val="FootnoteReference"/>
        </w:rPr>
        <w:footnoteRef/>
      </w:r>
      <w:r w:rsidRPr="002A2345">
        <w:rPr>
          <w:lang w:val="de-DE"/>
        </w:rPr>
        <w:t xml:space="preserve"> Moore</w:t>
      </w:r>
      <w:r w:rsidRPr="002A2345" w:rsidR="00E66287">
        <w:rPr>
          <w:lang w:val="de-DE"/>
        </w:rPr>
        <w:t xml:space="preserve"> (n</w:t>
      </w:r>
      <w:r w:rsidRPr="002A2345" w:rsidR="00DD3069">
        <w:rPr>
          <w:lang w:val="de-DE"/>
        </w:rPr>
        <w:t xml:space="preserve">63) </w:t>
      </w:r>
      <w:r w:rsidRPr="002A2345">
        <w:rPr>
          <w:lang w:val="de-DE"/>
        </w:rPr>
        <w:t>70.</w:t>
      </w:r>
    </w:p>
  </w:footnote>
  <w:footnote w:id="347">
    <w:p w:rsidRPr="002A2345" w:rsidR="00871120" w:rsidRDefault="00871120" w14:paraId="09DE7C70" w14:textId="15750DAF">
      <w:pPr>
        <w:pStyle w:val="FootnoteText"/>
        <w:rPr>
          <w:lang w:val="de-DE"/>
        </w:rPr>
      </w:pPr>
      <w:r>
        <w:rPr>
          <w:rStyle w:val="FootnoteReference"/>
        </w:rPr>
        <w:footnoteRef/>
      </w:r>
      <w:r w:rsidRPr="002A2345">
        <w:rPr>
          <w:lang w:val="de-DE"/>
        </w:rPr>
        <w:t xml:space="preserve"> Wilkinson</w:t>
      </w:r>
      <w:r w:rsidRPr="002A2345" w:rsidR="00DD3069">
        <w:rPr>
          <w:lang w:val="de-DE"/>
        </w:rPr>
        <w:t xml:space="preserve"> (n8</w:t>
      </w:r>
      <w:r w:rsidRPr="002A2345" w:rsidR="003568C2">
        <w:rPr>
          <w:lang w:val="de-DE"/>
        </w:rPr>
        <w:t>5</w:t>
      </w:r>
      <w:r w:rsidRPr="002A2345" w:rsidR="00DD3069">
        <w:rPr>
          <w:lang w:val="de-DE"/>
        </w:rPr>
        <w:t xml:space="preserve">) </w:t>
      </w:r>
      <w:r w:rsidRPr="002A2345" w:rsidR="00BF60CD">
        <w:rPr>
          <w:lang w:val="de-DE"/>
        </w:rPr>
        <w:t>94.</w:t>
      </w:r>
    </w:p>
  </w:footnote>
  <w:footnote w:id="348">
    <w:p w:rsidRPr="002A2345" w:rsidR="009275EB" w:rsidP="009275EB" w:rsidRDefault="009275EB" w14:paraId="174AF501" w14:textId="18A31D19">
      <w:pPr>
        <w:pStyle w:val="FootnoteText"/>
        <w:rPr>
          <w:lang w:val="de-DE"/>
        </w:rPr>
      </w:pPr>
      <w:r>
        <w:rPr>
          <w:rStyle w:val="FootnoteReference"/>
        </w:rPr>
        <w:footnoteRef/>
      </w:r>
      <w:r w:rsidRPr="002A2345">
        <w:rPr>
          <w:lang w:val="de-DE"/>
        </w:rPr>
        <w:t xml:space="preserve"> Gollop </w:t>
      </w:r>
      <w:r w:rsidRPr="002A2345" w:rsidR="00DD3069">
        <w:rPr>
          <w:lang w:val="de-DE"/>
        </w:rPr>
        <w:t>(n12</w:t>
      </w:r>
      <w:r w:rsidRPr="002A2345" w:rsidR="00A54418">
        <w:rPr>
          <w:lang w:val="de-DE"/>
        </w:rPr>
        <w:t>8</w:t>
      </w:r>
      <w:r w:rsidRPr="002A2345" w:rsidR="00DD3069">
        <w:rPr>
          <w:lang w:val="de-DE"/>
        </w:rPr>
        <w:t>)</w:t>
      </w:r>
      <w:r w:rsidRPr="002A2345" w:rsidR="00415CCE">
        <w:rPr>
          <w:lang w:val="de-DE"/>
        </w:rPr>
        <w:t>.</w:t>
      </w:r>
    </w:p>
  </w:footnote>
  <w:footnote w:id="349">
    <w:p w:rsidRPr="002A2345" w:rsidR="009275EB" w:rsidP="009275EB" w:rsidRDefault="009275EB" w14:paraId="31A5F0DE" w14:textId="0CA826A1">
      <w:pPr>
        <w:pStyle w:val="FootnoteText"/>
        <w:rPr>
          <w:lang w:val="de-DE"/>
        </w:rPr>
      </w:pPr>
      <w:r>
        <w:rPr>
          <w:rStyle w:val="FootnoteReference"/>
        </w:rPr>
        <w:footnoteRef/>
      </w:r>
      <w:r w:rsidRPr="002A2345">
        <w:rPr>
          <w:lang w:val="de-DE"/>
        </w:rPr>
        <w:t xml:space="preserve"> </w:t>
      </w:r>
      <w:r w:rsidRPr="002A2345" w:rsidR="00933BCD">
        <w:rPr>
          <w:lang w:val="de-DE"/>
        </w:rPr>
        <w:t>i</w:t>
      </w:r>
      <w:r w:rsidRPr="002A2345" w:rsidR="00DD3069">
        <w:rPr>
          <w:lang w:val="de-DE"/>
        </w:rPr>
        <w:t>bid</w:t>
      </w:r>
      <w:r w:rsidRPr="002A2345" w:rsidR="00415CCE">
        <w:rPr>
          <w:lang w:val="de-DE"/>
        </w:rPr>
        <w:t>.</w:t>
      </w:r>
    </w:p>
  </w:footnote>
  <w:footnote w:id="350">
    <w:p w:rsidR="009275EB" w:rsidP="009275EB" w:rsidRDefault="009275EB" w14:paraId="461655C1" w14:textId="4962A489">
      <w:pPr>
        <w:pStyle w:val="FootnoteText"/>
      </w:pPr>
      <w:r>
        <w:rPr>
          <w:rStyle w:val="FootnoteReference"/>
        </w:rPr>
        <w:footnoteRef/>
      </w:r>
      <w:r>
        <w:t xml:space="preserve"> Goold</w:t>
      </w:r>
      <w:r w:rsidR="00DD3069">
        <w:t xml:space="preserve"> (n</w:t>
      </w:r>
      <w:r w:rsidR="009D2920">
        <w:t>32</w:t>
      </w:r>
      <w:r w:rsidR="00A54418">
        <w:t>9</w:t>
      </w:r>
      <w:r w:rsidR="009D2920">
        <w:t>)</w:t>
      </w:r>
      <w:r>
        <w:t xml:space="preserve"> 43.</w:t>
      </w:r>
    </w:p>
  </w:footnote>
  <w:footnote w:id="351">
    <w:p w:rsidR="009275EB" w:rsidP="009275EB" w:rsidRDefault="009275EB" w14:paraId="61E4B689" w14:textId="5FEDCA41">
      <w:pPr>
        <w:pStyle w:val="FootnoteText"/>
      </w:pPr>
      <w:r>
        <w:rPr>
          <w:rStyle w:val="FootnoteReference"/>
        </w:rPr>
        <w:footnoteRef/>
      </w:r>
      <w:r>
        <w:t xml:space="preserve"> </w:t>
      </w:r>
      <w:r w:rsidR="003568C2">
        <w:t xml:space="preserve">ibid </w:t>
      </w:r>
      <w:r>
        <w:t>42.</w:t>
      </w:r>
    </w:p>
  </w:footnote>
  <w:footnote w:id="352">
    <w:p w:rsidRPr="009162C5" w:rsidR="009275EB" w:rsidP="009275EB" w:rsidRDefault="009275EB" w14:paraId="1E3B956A" w14:textId="77777777">
      <w:pPr>
        <w:rPr>
          <w:sz w:val="20"/>
          <w:szCs w:val="20"/>
        </w:rPr>
      </w:pPr>
      <w:r w:rsidRPr="009162C5">
        <w:rPr>
          <w:rStyle w:val="FootnoteReference"/>
          <w:sz w:val="20"/>
          <w:szCs w:val="20"/>
        </w:rPr>
        <w:footnoteRef/>
      </w:r>
      <w:r w:rsidRPr="009162C5">
        <w:rPr>
          <w:sz w:val="20"/>
          <w:szCs w:val="20"/>
        </w:rPr>
        <w:t xml:space="preserve">Jo Bridgeman, ‘Beyond Best Interests: A Question of Professional Conscience’ in </w:t>
      </w:r>
      <w:r>
        <w:rPr>
          <w:sz w:val="20"/>
          <w:szCs w:val="20"/>
        </w:rPr>
        <w:t xml:space="preserve">Imogen </w:t>
      </w:r>
      <w:r w:rsidRPr="009162C5">
        <w:rPr>
          <w:sz w:val="20"/>
          <w:szCs w:val="20"/>
        </w:rPr>
        <w:t>Goold,</w:t>
      </w:r>
      <w:r>
        <w:rPr>
          <w:sz w:val="20"/>
          <w:szCs w:val="20"/>
        </w:rPr>
        <w:t xml:space="preserve"> Jonathan</w:t>
      </w:r>
      <w:r w:rsidRPr="009162C5">
        <w:rPr>
          <w:sz w:val="20"/>
          <w:szCs w:val="20"/>
        </w:rPr>
        <w:t xml:space="preserve"> Herring and</w:t>
      </w:r>
      <w:r>
        <w:rPr>
          <w:sz w:val="20"/>
          <w:szCs w:val="20"/>
        </w:rPr>
        <w:t xml:space="preserve"> Cressida</w:t>
      </w:r>
      <w:r w:rsidRPr="009162C5">
        <w:rPr>
          <w:sz w:val="20"/>
          <w:szCs w:val="20"/>
        </w:rPr>
        <w:t xml:space="preserve"> Auckland (eds) </w:t>
      </w:r>
      <w:r w:rsidRPr="009162C5">
        <w:rPr>
          <w:i/>
          <w:iCs/>
          <w:sz w:val="20"/>
          <w:szCs w:val="20"/>
        </w:rPr>
        <w:t xml:space="preserve">Parental Rights, Best Interests and Significant Harms </w:t>
      </w:r>
      <w:r w:rsidRPr="009162C5">
        <w:rPr>
          <w:sz w:val="20"/>
          <w:szCs w:val="20"/>
        </w:rPr>
        <w:t xml:space="preserve">(Hart 2019) 137. </w:t>
      </w:r>
    </w:p>
  </w:footnote>
  <w:footnote w:id="353">
    <w:p w:rsidR="009275EB" w:rsidP="009275EB" w:rsidRDefault="009275EB" w14:paraId="6EDFCFB5" w14:textId="599DB80F">
      <w:pPr>
        <w:pStyle w:val="FootnoteText"/>
      </w:pPr>
      <w:r>
        <w:rPr>
          <w:rStyle w:val="FootnoteReference"/>
        </w:rPr>
        <w:footnoteRef/>
      </w:r>
      <w:r>
        <w:t xml:space="preserve"> Birchley</w:t>
      </w:r>
      <w:r w:rsidR="00076629">
        <w:t xml:space="preserve"> (n26) </w:t>
      </w:r>
      <w:r>
        <w:t>115. The data was drawn from the ‘Best Interests in Paediatric Intensive Care’ Project. The data was collected in 2014, but a portion was reanalysed in 2017.</w:t>
      </w:r>
    </w:p>
  </w:footnote>
  <w:footnote w:id="354">
    <w:p w:rsidR="009275EB" w:rsidP="009275EB" w:rsidRDefault="009275EB" w14:paraId="1B30488B" w14:textId="6BF90EAF">
      <w:pPr>
        <w:pStyle w:val="FootnoteText"/>
      </w:pPr>
      <w:r>
        <w:rPr>
          <w:rStyle w:val="FootnoteReference"/>
        </w:rPr>
        <w:footnoteRef/>
      </w:r>
      <w:r>
        <w:t xml:space="preserve"> </w:t>
      </w:r>
      <w:r w:rsidR="00076629">
        <w:t xml:space="preserve">ibid </w:t>
      </w:r>
      <w:r>
        <w:t>118-122.</w:t>
      </w:r>
    </w:p>
  </w:footnote>
  <w:footnote w:id="355">
    <w:p w:rsidR="009275EB" w:rsidP="009275EB" w:rsidRDefault="009275EB" w14:paraId="265BC4A7" w14:textId="21D7F167">
      <w:pPr>
        <w:pStyle w:val="FootnoteText"/>
      </w:pPr>
      <w:r>
        <w:rPr>
          <w:rStyle w:val="FootnoteReference"/>
        </w:rPr>
        <w:footnoteRef/>
      </w:r>
      <w:r>
        <w:t xml:space="preserve"> </w:t>
      </w:r>
      <w:r w:rsidR="00076629">
        <w:t xml:space="preserve">ibid </w:t>
      </w:r>
      <w:r>
        <w:t>121.</w:t>
      </w:r>
    </w:p>
  </w:footnote>
  <w:footnote w:id="356">
    <w:p w:rsidRPr="00B01B59" w:rsidR="009275EB" w:rsidP="009275EB" w:rsidRDefault="009275EB" w14:paraId="29941170" w14:textId="05D5337D">
      <w:pPr>
        <w:pStyle w:val="FootnoteText"/>
      </w:pPr>
      <w:r>
        <w:rPr>
          <w:rStyle w:val="FootnoteReference"/>
        </w:rPr>
        <w:footnoteRef/>
      </w:r>
      <w:r>
        <w:t xml:space="preserve"> </w:t>
      </w:r>
      <w:r w:rsidR="00076629">
        <w:t xml:space="preserve">ibid </w:t>
      </w:r>
      <w:r w:rsidRPr="00B01B59">
        <w:t>122.</w:t>
      </w:r>
    </w:p>
  </w:footnote>
  <w:footnote w:id="357">
    <w:p w:rsidRPr="00B01B59" w:rsidR="001E1A02" w:rsidP="00B01B59" w:rsidRDefault="001E1A02" w14:paraId="18B69379" w14:textId="3B8F3F18">
      <w:pPr>
        <w:rPr>
          <w:sz w:val="20"/>
          <w:szCs w:val="20"/>
        </w:rPr>
      </w:pPr>
      <w:r w:rsidRPr="00B01B59">
        <w:rPr>
          <w:rStyle w:val="FootnoteReference"/>
          <w:sz w:val="20"/>
          <w:szCs w:val="20"/>
        </w:rPr>
        <w:footnoteRef/>
      </w:r>
      <w:r w:rsidRPr="00B01B59">
        <w:rPr>
          <w:sz w:val="20"/>
          <w:szCs w:val="20"/>
        </w:rPr>
        <w:t xml:space="preserve"> </w:t>
      </w:r>
      <w:r w:rsidRPr="00B01B59" w:rsidR="00F27C58">
        <w:rPr>
          <w:sz w:val="20"/>
          <w:szCs w:val="20"/>
        </w:rPr>
        <w:t>Benbow</w:t>
      </w:r>
      <w:r w:rsidR="00076629">
        <w:rPr>
          <w:sz w:val="20"/>
          <w:szCs w:val="20"/>
        </w:rPr>
        <w:t xml:space="preserve"> (n</w:t>
      </w:r>
      <w:r w:rsidR="00E239FF">
        <w:rPr>
          <w:sz w:val="20"/>
          <w:szCs w:val="20"/>
        </w:rPr>
        <w:t>1</w:t>
      </w:r>
      <w:r w:rsidR="00A54418">
        <w:rPr>
          <w:sz w:val="20"/>
          <w:szCs w:val="20"/>
        </w:rPr>
        <w:t>60</w:t>
      </w:r>
      <w:r w:rsidR="00E239FF">
        <w:rPr>
          <w:sz w:val="20"/>
          <w:szCs w:val="20"/>
        </w:rPr>
        <w:t xml:space="preserve">) </w:t>
      </w:r>
      <w:r w:rsidRPr="00B01B59" w:rsidR="00B01B59">
        <w:rPr>
          <w:sz w:val="20"/>
          <w:szCs w:val="20"/>
        </w:rPr>
        <w:t>307.</w:t>
      </w:r>
    </w:p>
  </w:footnote>
  <w:footnote w:id="358">
    <w:p w:rsidR="009275EB" w:rsidP="009275EB" w:rsidRDefault="009275EB" w14:paraId="306DB634" w14:textId="534B3287">
      <w:pPr>
        <w:pStyle w:val="FootnoteText"/>
      </w:pPr>
      <w:r>
        <w:rPr>
          <w:rStyle w:val="FootnoteReference"/>
        </w:rPr>
        <w:footnoteRef/>
      </w:r>
      <w:r>
        <w:t xml:space="preserve"> Birchley</w:t>
      </w:r>
      <w:r w:rsidR="00E239FF">
        <w:t xml:space="preserve"> (n</w:t>
      </w:r>
      <w:r w:rsidR="006A0218">
        <w:t xml:space="preserve">26) </w:t>
      </w:r>
      <w:r>
        <w:t>129.</w:t>
      </w:r>
    </w:p>
  </w:footnote>
  <w:footnote w:id="359">
    <w:p w:rsidR="009275EB" w:rsidP="009275EB" w:rsidRDefault="009275EB" w14:paraId="7BF3AB6C" w14:textId="108EC081">
      <w:pPr>
        <w:pStyle w:val="FootnoteText"/>
      </w:pPr>
      <w:r>
        <w:rPr>
          <w:rStyle w:val="FootnoteReference"/>
        </w:rPr>
        <w:footnoteRef/>
      </w:r>
      <w:r>
        <w:t xml:space="preserve"> </w:t>
      </w:r>
      <w:r w:rsidR="00AF4449">
        <w:t>i</w:t>
      </w:r>
      <w:r w:rsidR="006A0218">
        <w:t>bid</w:t>
      </w:r>
      <w:r w:rsidR="00AF4449">
        <w:t>.</w:t>
      </w:r>
    </w:p>
  </w:footnote>
  <w:footnote w:id="360">
    <w:p w:rsidRPr="005D6F60" w:rsidR="00C003B9" w:rsidP="005D6F60" w:rsidRDefault="00C003B9" w14:paraId="0C208F4F" w14:textId="69F2342A">
      <w:pPr>
        <w:rPr>
          <w:sz w:val="20"/>
          <w:szCs w:val="20"/>
        </w:rPr>
      </w:pPr>
      <w:r w:rsidRPr="005D6F60">
        <w:rPr>
          <w:rStyle w:val="FootnoteReference"/>
          <w:sz w:val="20"/>
          <w:szCs w:val="20"/>
        </w:rPr>
        <w:footnoteRef/>
      </w:r>
      <w:r w:rsidRPr="005D6F60">
        <w:rPr>
          <w:sz w:val="20"/>
          <w:szCs w:val="20"/>
        </w:rPr>
        <w:t xml:space="preserve"> </w:t>
      </w:r>
      <w:r w:rsidRPr="005D6F60" w:rsidR="005D3528">
        <w:rPr>
          <w:sz w:val="20"/>
          <w:szCs w:val="20"/>
        </w:rPr>
        <w:t>Auckland</w:t>
      </w:r>
      <w:r w:rsidR="006A0218">
        <w:rPr>
          <w:sz w:val="20"/>
          <w:szCs w:val="20"/>
        </w:rPr>
        <w:t xml:space="preserve"> (n81) </w:t>
      </w:r>
      <w:r w:rsidRPr="005D6F60" w:rsidR="005D6F60">
        <w:rPr>
          <w:sz w:val="20"/>
          <w:szCs w:val="20"/>
        </w:rPr>
        <w:t>297.</w:t>
      </w:r>
    </w:p>
  </w:footnote>
  <w:footnote w:id="361">
    <w:p w:rsidR="00B1781F" w:rsidRDefault="00B1781F" w14:paraId="4F044EC3" w14:textId="66F7A123">
      <w:pPr>
        <w:pStyle w:val="FootnoteText"/>
      </w:pPr>
      <w:r>
        <w:rPr>
          <w:rStyle w:val="FootnoteReference"/>
        </w:rPr>
        <w:footnoteRef/>
      </w:r>
      <w:r>
        <w:t xml:space="preserve"> Bridgema</w:t>
      </w:r>
      <w:r w:rsidR="00B9072C">
        <w:t>n (n3</w:t>
      </w:r>
      <w:r w:rsidR="003568C2">
        <w:t>5</w:t>
      </w:r>
      <w:r w:rsidR="00A54418">
        <w:t>1</w:t>
      </w:r>
      <w:r w:rsidR="00B9072C">
        <w:t xml:space="preserve">) </w:t>
      </w:r>
      <w:r w:rsidR="00376705">
        <w:t>151.</w:t>
      </w:r>
    </w:p>
  </w:footnote>
  <w:footnote w:id="362">
    <w:p w:rsidRPr="005D6F60" w:rsidR="00A72F87" w:rsidRDefault="00A72F87" w14:paraId="4E7E6ADA" w14:textId="6BF66A0B">
      <w:pPr>
        <w:pStyle w:val="FootnoteText"/>
      </w:pPr>
      <w:r w:rsidRPr="005D6F60">
        <w:rPr>
          <w:rStyle w:val="FootnoteReference"/>
        </w:rPr>
        <w:footnoteRef/>
      </w:r>
      <w:r w:rsidRPr="005D6F60">
        <w:t xml:space="preserve"> Macintosh</w:t>
      </w:r>
      <w:r w:rsidR="00B9072C">
        <w:t xml:space="preserve"> (n</w:t>
      </w:r>
      <w:r w:rsidR="008A5820">
        <w:t>17</w:t>
      </w:r>
      <w:r w:rsidR="00A54418">
        <w:t>5</w:t>
      </w:r>
      <w:r w:rsidR="008A5820">
        <w:t>)</w:t>
      </w:r>
      <w:r w:rsidRPr="005D6F60">
        <w:t xml:space="preserve"> </w:t>
      </w:r>
      <w:r w:rsidRPr="005D6F60" w:rsidR="0013374C">
        <w:t>2.</w:t>
      </w:r>
    </w:p>
  </w:footnote>
  <w:footnote w:id="363">
    <w:p w:rsidRPr="005D6F60" w:rsidR="00946814" w:rsidP="00DF1168" w:rsidRDefault="00946814" w14:paraId="11E08FA3" w14:textId="2DC279FB">
      <w:pPr>
        <w:rPr>
          <w:sz w:val="20"/>
          <w:szCs w:val="20"/>
        </w:rPr>
      </w:pPr>
      <w:r w:rsidRPr="005D6F60">
        <w:rPr>
          <w:rStyle w:val="FootnoteReference"/>
          <w:sz w:val="20"/>
          <w:szCs w:val="20"/>
        </w:rPr>
        <w:footnoteRef/>
      </w:r>
      <w:r w:rsidRPr="005D6F60">
        <w:rPr>
          <w:sz w:val="20"/>
          <w:szCs w:val="20"/>
        </w:rPr>
        <w:t xml:space="preserve"> </w:t>
      </w:r>
      <w:r w:rsidRPr="005D6F60" w:rsidR="00FD163F">
        <w:rPr>
          <w:sz w:val="20"/>
          <w:szCs w:val="20"/>
        </w:rPr>
        <w:t xml:space="preserve"> Moore</w:t>
      </w:r>
      <w:r w:rsidR="008A5820">
        <w:rPr>
          <w:sz w:val="20"/>
          <w:szCs w:val="20"/>
        </w:rPr>
        <w:t xml:space="preserve"> (n63) </w:t>
      </w:r>
      <w:r w:rsidRPr="005D6F60" w:rsidR="00A047FA">
        <w:rPr>
          <w:sz w:val="20"/>
          <w:szCs w:val="20"/>
        </w:rPr>
        <w:t>68.</w:t>
      </w:r>
    </w:p>
  </w:footnote>
  <w:footnote w:id="364">
    <w:p w:rsidRPr="005D6F60" w:rsidR="00CD58C3" w:rsidRDefault="00CD58C3" w14:paraId="67544518" w14:textId="74549B73">
      <w:pPr>
        <w:pStyle w:val="FootnoteText"/>
      </w:pPr>
      <w:r w:rsidRPr="005D6F60">
        <w:rPr>
          <w:rStyle w:val="FootnoteReference"/>
        </w:rPr>
        <w:footnoteRef/>
      </w:r>
      <w:r w:rsidRPr="005D6F60">
        <w:t xml:space="preserve"> Wilkinson</w:t>
      </w:r>
      <w:r w:rsidR="00AE58C4">
        <w:t xml:space="preserve"> (n</w:t>
      </w:r>
      <w:r w:rsidR="00FC3C49">
        <w:t>8</w:t>
      </w:r>
      <w:r w:rsidR="003568C2">
        <w:t>5</w:t>
      </w:r>
      <w:r w:rsidR="00FC3C49">
        <w:t>)</w:t>
      </w:r>
      <w:r w:rsidRPr="005D6F60" w:rsidR="00255234">
        <w:t xml:space="preserve"> 88.</w:t>
      </w:r>
    </w:p>
  </w:footnote>
  <w:footnote w:id="365">
    <w:p w:rsidRPr="005D6F60" w:rsidR="00A76B03" w:rsidP="00A76B03" w:rsidRDefault="00A76B03" w14:paraId="19A9A6CC" w14:textId="77777777">
      <w:pPr>
        <w:pStyle w:val="FootnoteText"/>
      </w:pPr>
      <w:r w:rsidRPr="005D6F60">
        <w:rPr>
          <w:rStyle w:val="FootnoteReference"/>
        </w:rPr>
        <w:footnoteRef/>
      </w:r>
      <w:r w:rsidRPr="005D6F60">
        <w:t xml:space="preserve"> JC Bester, ‘The Best Interests standard and children: Clarifying a concept and responding to its critics’ (2019) 45 Journal of Medical Ethics 117.</w:t>
      </w:r>
    </w:p>
  </w:footnote>
  <w:footnote w:id="366">
    <w:p w:rsidRPr="002A2345" w:rsidR="00EA0422" w:rsidRDefault="00EA0422" w14:paraId="697B2378" w14:textId="2615A93B">
      <w:pPr>
        <w:pStyle w:val="FootnoteText"/>
        <w:rPr>
          <w:lang w:val="de-DE"/>
        </w:rPr>
      </w:pPr>
      <w:r w:rsidRPr="005D6F60">
        <w:rPr>
          <w:rStyle w:val="FootnoteReference"/>
        </w:rPr>
        <w:footnoteRef/>
      </w:r>
      <w:r w:rsidRPr="002A2345">
        <w:rPr>
          <w:lang w:val="de-DE"/>
        </w:rPr>
        <w:t xml:space="preserve"> Benbow</w:t>
      </w:r>
      <w:r w:rsidRPr="002A2345" w:rsidR="006F3BE0">
        <w:rPr>
          <w:lang w:val="de-DE"/>
        </w:rPr>
        <w:t xml:space="preserve"> (n1</w:t>
      </w:r>
      <w:r w:rsidRPr="002A2345" w:rsidR="00A54418">
        <w:rPr>
          <w:lang w:val="de-DE"/>
        </w:rPr>
        <w:t>60</w:t>
      </w:r>
      <w:r w:rsidRPr="002A2345" w:rsidR="006F3BE0">
        <w:rPr>
          <w:lang w:val="de-DE"/>
        </w:rPr>
        <w:t>)</w:t>
      </w:r>
      <w:r w:rsidRPr="002A2345">
        <w:rPr>
          <w:lang w:val="de-DE"/>
        </w:rPr>
        <w:t xml:space="preserve"> </w:t>
      </w:r>
      <w:r w:rsidRPr="002A2345" w:rsidR="005F565E">
        <w:rPr>
          <w:lang w:val="de-DE"/>
        </w:rPr>
        <w:t>299.</w:t>
      </w:r>
    </w:p>
  </w:footnote>
  <w:footnote w:id="367">
    <w:p w:rsidRPr="002A2345" w:rsidR="004108B5" w:rsidRDefault="004108B5" w14:paraId="7EFB166B" w14:textId="35EE8B14">
      <w:pPr>
        <w:pStyle w:val="FootnoteText"/>
        <w:rPr>
          <w:lang w:val="de-DE"/>
        </w:rPr>
      </w:pPr>
      <w:r w:rsidRPr="005D6F60">
        <w:rPr>
          <w:rStyle w:val="FootnoteReference"/>
        </w:rPr>
        <w:footnoteRef/>
      </w:r>
      <w:r w:rsidRPr="002A2345">
        <w:rPr>
          <w:lang w:val="de-DE"/>
        </w:rPr>
        <w:t xml:space="preserve"> </w:t>
      </w:r>
      <w:r w:rsidRPr="002A2345" w:rsidR="000523EA">
        <w:rPr>
          <w:lang w:val="de-DE"/>
        </w:rPr>
        <w:t>Auckland</w:t>
      </w:r>
      <w:r w:rsidRPr="002A2345" w:rsidR="00473731">
        <w:rPr>
          <w:lang w:val="de-DE"/>
        </w:rPr>
        <w:t xml:space="preserve"> </w:t>
      </w:r>
      <w:r w:rsidRPr="002A2345" w:rsidR="006F3BE0">
        <w:rPr>
          <w:lang w:val="de-DE"/>
        </w:rPr>
        <w:t>(n</w:t>
      </w:r>
      <w:r w:rsidRPr="002A2345" w:rsidR="00473731">
        <w:rPr>
          <w:lang w:val="de-DE"/>
        </w:rPr>
        <w:t>8</w:t>
      </w:r>
      <w:r w:rsidRPr="002A2345" w:rsidR="003568C2">
        <w:rPr>
          <w:lang w:val="de-DE"/>
        </w:rPr>
        <w:t>8</w:t>
      </w:r>
      <w:r w:rsidRPr="002A2345" w:rsidR="00473731">
        <w:rPr>
          <w:lang w:val="de-DE"/>
        </w:rPr>
        <w:t>)</w:t>
      </w:r>
      <w:r w:rsidRPr="002A2345" w:rsidR="00062637">
        <w:rPr>
          <w:lang w:val="de-DE"/>
        </w:rPr>
        <w:t xml:space="preserve"> 672.</w:t>
      </w:r>
    </w:p>
  </w:footnote>
  <w:footnote w:id="368">
    <w:p w:rsidRPr="002A2345" w:rsidR="00ED6E32" w:rsidP="009275EB" w:rsidRDefault="00ED6E32" w14:paraId="4286276A" w14:textId="25CBCFB1">
      <w:pPr>
        <w:rPr>
          <w:sz w:val="20"/>
          <w:szCs w:val="20"/>
          <w:lang w:val="de-DE"/>
        </w:rPr>
      </w:pPr>
      <w:r w:rsidRPr="005D6F60">
        <w:rPr>
          <w:rStyle w:val="FootnoteReference"/>
          <w:sz w:val="20"/>
          <w:szCs w:val="20"/>
        </w:rPr>
        <w:footnoteRef/>
      </w:r>
      <w:r w:rsidRPr="002A2345">
        <w:rPr>
          <w:sz w:val="20"/>
          <w:szCs w:val="20"/>
          <w:lang w:val="de-DE"/>
        </w:rPr>
        <w:t xml:space="preserve"> </w:t>
      </w:r>
      <w:r w:rsidRPr="002A2345" w:rsidR="00D1281F">
        <w:rPr>
          <w:sz w:val="20"/>
          <w:szCs w:val="20"/>
          <w:lang w:val="de-DE"/>
        </w:rPr>
        <w:t>Auckland</w:t>
      </w:r>
      <w:r w:rsidRPr="002A2345" w:rsidR="00473731">
        <w:rPr>
          <w:sz w:val="20"/>
          <w:szCs w:val="20"/>
          <w:lang w:val="de-DE"/>
        </w:rPr>
        <w:t xml:space="preserve"> (n17</w:t>
      </w:r>
      <w:r w:rsidRPr="002A2345" w:rsidR="00A54418">
        <w:rPr>
          <w:sz w:val="20"/>
          <w:szCs w:val="20"/>
          <w:lang w:val="de-DE"/>
        </w:rPr>
        <w:t>2</w:t>
      </w:r>
      <w:r w:rsidRPr="002A2345" w:rsidR="00473731">
        <w:rPr>
          <w:sz w:val="20"/>
          <w:szCs w:val="20"/>
          <w:lang w:val="de-DE"/>
        </w:rPr>
        <w:t xml:space="preserve">) </w:t>
      </w:r>
      <w:r w:rsidRPr="002A2345" w:rsidR="00EF72BA">
        <w:rPr>
          <w:sz w:val="20"/>
          <w:szCs w:val="20"/>
          <w:lang w:val="de-DE"/>
        </w:rPr>
        <w:t>1337.</w:t>
      </w:r>
    </w:p>
  </w:footnote>
  <w:footnote w:id="369">
    <w:p w:rsidRPr="002A2345" w:rsidR="000B4BE6" w:rsidRDefault="000B4BE6" w14:paraId="4445600E" w14:textId="7AD2C3B8">
      <w:pPr>
        <w:pStyle w:val="FootnoteText"/>
        <w:rPr>
          <w:lang w:val="de-DE"/>
        </w:rPr>
      </w:pPr>
      <w:r>
        <w:rPr>
          <w:rStyle w:val="FootnoteReference"/>
        </w:rPr>
        <w:footnoteRef/>
      </w:r>
      <w:r w:rsidRPr="002A2345">
        <w:rPr>
          <w:lang w:val="de-DE"/>
        </w:rPr>
        <w:t xml:space="preserve"> Birchley</w:t>
      </w:r>
      <w:r w:rsidRPr="002A2345" w:rsidR="00473731">
        <w:rPr>
          <w:lang w:val="de-DE"/>
        </w:rPr>
        <w:t xml:space="preserve"> (n26) </w:t>
      </w:r>
      <w:r w:rsidRPr="002A2345">
        <w:rPr>
          <w:lang w:val="de-DE"/>
        </w:rPr>
        <w:t>118.</w:t>
      </w:r>
    </w:p>
  </w:footnote>
  <w:footnote w:id="370">
    <w:p w:rsidRPr="002A2345" w:rsidR="00F400CD" w:rsidRDefault="00F400CD" w14:paraId="332389A5" w14:textId="618216E9">
      <w:pPr>
        <w:pStyle w:val="FootnoteText"/>
        <w:rPr>
          <w:lang w:val="de-DE"/>
        </w:rPr>
      </w:pPr>
      <w:r>
        <w:rPr>
          <w:rStyle w:val="FootnoteReference"/>
        </w:rPr>
        <w:footnoteRef/>
      </w:r>
      <w:r w:rsidRPr="002A2345" w:rsidR="000B4BE6">
        <w:rPr>
          <w:lang w:val="de-DE"/>
        </w:rPr>
        <w:t xml:space="preserve"> Birchley</w:t>
      </w:r>
      <w:r w:rsidRPr="002A2345" w:rsidR="000E250B">
        <w:rPr>
          <w:lang w:val="de-DE"/>
        </w:rPr>
        <w:t xml:space="preserve"> </w:t>
      </w:r>
      <w:r w:rsidRPr="002A2345" w:rsidR="000D205E">
        <w:rPr>
          <w:lang w:val="de-DE"/>
        </w:rPr>
        <w:t>(n10</w:t>
      </w:r>
      <w:r w:rsidRPr="002A2345" w:rsidR="00A54418">
        <w:rPr>
          <w:lang w:val="de-DE"/>
        </w:rPr>
        <w:t>8</w:t>
      </w:r>
      <w:r w:rsidRPr="002A2345" w:rsidR="000D205E">
        <w:rPr>
          <w:lang w:val="de-DE"/>
        </w:rPr>
        <w:t>)</w:t>
      </w:r>
      <w:r w:rsidRPr="002A2345" w:rsidR="00C1644F">
        <w:rPr>
          <w:lang w:val="de-DE"/>
        </w:rPr>
        <w:t xml:space="preserve"> 3.</w:t>
      </w:r>
    </w:p>
  </w:footnote>
  <w:footnote w:id="371">
    <w:p w:rsidRPr="002A2345" w:rsidR="00992C18" w:rsidP="00992C18" w:rsidRDefault="00992C18" w14:paraId="74464EDC" w14:textId="3B6A18B0">
      <w:pPr>
        <w:pStyle w:val="FootnoteText"/>
        <w:rPr>
          <w:lang w:val="de-DE"/>
        </w:rPr>
      </w:pPr>
      <w:r>
        <w:rPr>
          <w:rStyle w:val="FootnoteReference"/>
        </w:rPr>
        <w:footnoteRef/>
      </w:r>
      <w:r w:rsidRPr="002A2345" w:rsidR="005433E2">
        <w:rPr>
          <w:lang w:val="de-DE"/>
        </w:rPr>
        <w:t xml:space="preserve"> Benbow</w:t>
      </w:r>
      <w:r w:rsidRPr="002A2345" w:rsidR="000D205E">
        <w:rPr>
          <w:lang w:val="de-DE"/>
        </w:rPr>
        <w:t xml:space="preserve"> (n1</w:t>
      </w:r>
      <w:r w:rsidRPr="002A2345" w:rsidR="00A54418">
        <w:rPr>
          <w:lang w:val="de-DE"/>
        </w:rPr>
        <w:t>60</w:t>
      </w:r>
      <w:r w:rsidRPr="002A2345" w:rsidR="000D205E">
        <w:rPr>
          <w:lang w:val="de-DE"/>
        </w:rPr>
        <w:t xml:space="preserve">) </w:t>
      </w:r>
      <w:r w:rsidRPr="002A2345" w:rsidR="005433E2">
        <w:rPr>
          <w:lang w:val="de-DE"/>
        </w:rPr>
        <w:t>300.</w:t>
      </w:r>
    </w:p>
  </w:footnote>
  <w:footnote w:id="372">
    <w:p w:rsidR="00CF4463" w:rsidP="00CF4463" w:rsidRDefault="00CF4463" w14:paraId="3A91065D" w14:textId="6761E058">
      <w:pPr>
        <w:pStyle w:val="FootnoteText"/>
      </w:pPr>
      <w:r>
        <w:rPr>
          <w:rStyle w:val="FootnoteReference"/>
        </w:rPr>
        <w:footnoteRef/>
      </w:r>
      <w:r>
        <w:t xml:space="preserve"> </w:t>
      </w:r>
      <w:r w:rsidR="009A5292">
        <w:t xml:space="preserve">Birchley </w:t>
      </w:r>
      <w:r w:rsidR="000D205E">
        <w:t>(n26)</w:t>
      </w:r>
      <w:r w:rsidR="00415CCE">
        <w:t xml:space="preserve"> </w:t>
      </w:r>
      <w:r>
        <w:t>131.</w:t>
      </w:r>
    </w:p>
  </w:footnote>
  <w:footnote w:id="373">
    <w:p w:rsidR="00D4692A" w:rsidRDefault="00D4692A" w14:paraId="77DC670B" w14:textId="069542DE">
      <w:pPr>
        <w:pStyle w:val="FootnoteText"/>
      </w:pPr>
      <w:r>
        <w:rPr>
          <w:rStyle w:val="FootnoteReference"/>
        </w:rPr>
        <w:footnoteRef/>
      </w:r>
      <w:r>
        <w:t xml:space="preserve"> Bester</w:t>
      </w:r>
      <w:r w:rsidR="009A5292">
        <w:t xml:space="preserve"> (n3</w:t>
      </w:r>
      <w:r w:rsidR="00A54418">
        <w:t>40</w:t>
      </w:r>
      <w:r w:rsidR="009A5292">
        <w:t xml:space="preserve">) </w:t>
      </w:r>
      <w:r w:rsidR="00205F35">
        <w:t>16-17</w:t>
      </w:r>
      <w:r w:rsidR="00415CCE">
        <w:t>.</w:t>
      </w:r>
    </w:p>
  </w:footnote>
  <w:footnote w:id="374">
    <w:p w:rsidRPr="00306037" w:rsidR="00B50862" w:rsidP="00306037" w:rsidRDefault="00B50862" w14:paraId="253DBA8D" w14:textId="629134F1">
      <w:pPr>
        <w:rPr>
          <w:rFonts w:cstheme="minorHAnsi"/>
          <w:sz w:val="24"/>
          <w:szCs w:val="24"/>
        </w:rPr>
      </w:pPr>
      <w:r>
        <w:rPr>
          <w:rStyle w:val="FootnoteReference"/>
        </w:rPr>
        <w:footnoteRef/>
      </w:r>
      <w:r w:rsidR="00306037">
        <w:rPr>
          <w:rFonts w:cstheme="minorHAnsi"/>
          <w:i/>
          <w:iCs/>
          <w:sz w:val="20"/>
          <w:szCs w:val="20"/>
        </w:rPr>
        <w:t xml:space="preserve"> </w:t>
      </w:r>
      <w:r w:rsidRPr="00306037" w:rsidR="00306037">
        <w:rPr>
          <w:rFonts w:cstheme="minorHAnsi"/>
          <w:i/>
          <w:iCs/>
          <w:sz w:val="20"/>
          <w:szCs w:val="20"/>
        </w:rPr>
        <w:t xml:space="preserve">Manchester University NHS Foundation Trust </w:t>
      </w:r>
      <w:r w:rsidRPr="00306037" w:rsidR="00306037">
        <w:rPr>
          <w:rFonts w:cstheme="minorHAnsi"/>
          <w:sz w:val="20"/>
          <w:szCs w:val="20"/>
        </w:rPr>
        <w:t>v</w:t>
      </w:r>
      <w:r w:rsidRPr="00306037" w:rsidR="00306037">
        <w:rPr>
          <w:rFonts w:cstheme="minorHAnsi"/>
          <w:i/>
          <w:iCs/>
          <w:sz w:val="20"/>
          <w:szCs w:val="20"/>
        </w:rPr>
        <w:t xml:space="preserve"> Fixsler</w:t>
      </w:r>
      <w:r w:rsidRPr="00306037" w:rsidR="00306037">
        <w:rPr>
          <w:rFonts w:cstheme="minorHAnsi"/>
          <w:sz w:val="20"/>
          <w:szCs w:val="20"/>
        </w:rPr>
        <w:t xml:space="preserve"> [2021] EWHC 1426</w:t>
      </w:r>
      <w:r w:rsidRPr="00306037">
        <w:rPr>
          <w:sz w:val="20"/>
          <w:szCs w:val="20"/>
        </w:rPr>
        <w:t xml:space="preserve"> </w:t>
      </w:r>
      <w:r w:rsidRPr="00306037" w:rsidR="004A08C2">
        <w:rPr>
          <w:sz w:val="20"/>
          <w:szCs w:val="20"/>
        </w:rPr>
        <w:t>[105]</w:t>
      </w:r>
      <w:r w:rsidR="00415CCE">
        <w:rPr>
          <w:sz w:val="20"/>
          <w:szCs w:val="20"/>
        </w:rPr>
        <w:t>.</w:t>
      </w:r>
    </w:p>
  </w:footnote>
  <w:footnote w:id="375">
    <w:p w:rsidRPr="005A4091" w:rsidR="00010A94" w:rsidP="00DB5641" w:rsidRDefault="00010A94" w14:paraId="4E4DE39B" w14:textId="054C67F9">
      <w:pPr>
        <w:rPr>
          <w:sz w:val="20"/>
          <w:szCs w:val="20"/>
        </w:rPr>
      </w:pPr>
      <w:r w:rsidRPr="00DF2A26">
        <w:rPr>
          <w:rStyle w:val="FootnoteReference"/>
          <w:sz w:val="20"/>
          <w:szCs w:val="20"/>
        </w:rPr>
        <w:footnoteRef/>
      </w:r>
      <w:r w:rsidRPr="00DF2A26">
        <w:rPr>
          <w:sz w:val="20"/>
          <w:szCs w:val="20"/>
        </w:rPr>
        <w:t xml:space="preserve"> </w:t>
      </w:r>
      <w:r w:rsidRPr="00DF2A26" w:rsidR="00DB5641">
        <w:rPr>
          <w:sz w:val="20"/>
          <w:szCs w:val="20"/>
        </w:rPr>
        <w:t>Pruski</w:t>
      </w:r>
      <w:r w:rsidR="009A5292">
        <w:rPr>
          <w:sz w:val="20"/>
          <w:szCs w:val="20"/>
        </w:rPr>
        <w:t xml:space="preserve"> (n</w:t>
      </w:r>
      <w:r w:rsidR="000E250B">
        <w:rPr>
          <w:sz w:val="20"/>
          <w:szCs w:val="20"/>
        </w:rPr>
        <w:t xml:space="preserve">71) </w:t>
      </w:r>
      <w:r w:rsidRPr="005A4091" w:rsidR="00DF2A26">
        <w:rPr>
          <w:sz w:val="20"/>
          <w:szCs w:val="20"/>
        </w:rPr>
        <w:t>86.</w:t>
      </w:r>
    </w:p>
  </w:footnote>
  <w:footnote w:id="376">
    <w:p w:rsidRPr="005A4091" w:rsidR="00F46654" w:rsidP="005A4091" w:rsidRDefault="00F46654" w14:paraId="12A7892C" w14:textId="6BC4253A">
      <w:pPr>
        <w:rPr>
          <w:sz w:val="24"/>
          <w:szCs w:val="24"/>
        </w:rPr>
      </w:pPr>
      <w:r w:rsidRPr="005A4091">
        <w:rPr>
          <w:rStyle w:val="FootnoteReference"/>
          <w:sz w:val="20"/>
          <w:szCs w:val="20"/>
        </w:rPr>
        <w:footnoteRef/>
      </w:r>
      <w:r w:rsidRPr="005A4091">
        <w:rPr>
          <w:sz w:val="20"/>
          <w:szCs w:val="20"/>
        </w:rPr>
        <w:t xml:space="preserve"> </w:t>
      </w:r>
      <w:r w:rsidRPr="005A4091" w:rsidR="002342E7">
        <w:rPr>
          <w:sz w:val="20"/>
          <w:szCs w:val="20"/>
        </w:rPr>
        <w:t>Gamble</w:t>
      </w:r>
      <w:r w:rsidR="000E250B">
        <w:rPr>
          <w:sz w:val="20"/>
          <w:szCs w:val="20"/>
        </w:rPr>
        <w:t xml:space="preserve"> (n2</w:t>
      </w:r>
      <w:r w:rsidR="00A54418">
        <w:rPr>
          <w:sz w:val="20"/>
          <w:szCs w:val="20"/>
        </w:rPr>
        <w:t>70</w:t>
      </w:r>
      <w:r w:rsidR="000E250B">
        <w:rPr>
          <w:sz w:val="20"/>
          <w:szCs w:val="20"/>
        </w:rPr>
        <w:t xml:space="preserve">) </w:t>
      </w:r>
      <w:r w:rsidR="00BD1287">
        <w:rPr>
          <w:sz w:val="20"/>
          <w:szCs w:val="20"/>
        </w:rPr>
        <w:t>336-337.</w:t>
      </w:r>
    </w:p>
  </w:footnote>
  <w:footnote w:id="377">
    <w:p w:rsidR="00321194" w:rsidRDefault="00321194" w14:paraId="60ECB369" w14:textId="5D557EC2">
      <w:pPr>
        <w:pStyle w:val="FootnoteText"/>
      </w:pPr>
      <w:r>
        <w:rPr>
          <w:rStyle w:val="FootnoteReference"/>
        </w:rPr>
        <w:footnoteRef/>
      </w:r>
      <w:r w:rsidRPr="00DF2A26" w:rsidR="001A1EB1">
        <w:t xml:space="preserve"> Pruski</w:t>
      </w:r>
      <w:r w:rsidR="000E250B">
        <w:t xml:space="preserve"> (n71) </w:t>
      </w:r>
      <w:r w:rsidR="001A1EB1">
        <w:t>88.</w:t>
      </w:r>
    </w:p>
  </w:footnote>
  <w:footnote w:id="378">
    <w:p w:rsidR="00F45B82" w:rsidRDefault="00F45B82" w14:paraId="50A97948" w14:textId="4A4BB0A9">
      <w:pPr>
        <w:pStyle w:val="FootnoteText"/>
      </w:pPr>
      <w:r>
        <w:rPr>
          <w:rStyle w:val="FootnoteReference"/>
        </w:rPr>
        <w:footnoteRef/>
      </w:r>
      <w:r>
        <w:t xml:space="preserve"> </w:t>
      </w:r>
      <w:r w:rsidRPr="00DF1168">
        <w:t xml:space="preserve"> Wilkinson</w:t>
      </w:r>
      <w:r w:rsidR="000E250B">
        <w:t xml:space="preserve"> (n</w:t>
      </w:r>
      <w:r w:rsidR="00044DBD">
        <w:t>8</w:t>
      </w:r>
      <w:r w:rsidR="00B53502">
        <w:t>5</w:t>
      </w:r>
      <w:r w:rsidR="00044DBD">
        <w:t xml:space="preserve">) </w:t>
      </w:r>
      <w:r w:rsidRPr="00DF1168">
        <w:t>85</w:t>
      </w:r>
      <w:r>
        <w:t>.</w:t>
      </w:r>
    </w:p>
  </w:footnote>
  <w:footnote w:id="379">
    <w:p w:rsidR="00A34120" w:rsidRDefault="00A34120" w14:paraId="69BEEDAA" w14:textId="1FFB4127">
      <w:pPr>
        <w:pStyle w:val="FootnoteText"/>
      </w:pPr>
      <w:r>
        <w:rPr>
          <w:rStyle w:val="FootnoteReference"/>
        </w:rPr>
        <w:footnoteRef/>
      </w:r>
      <w:r>
        <w:t xml:space="preserve"> </w:t>
      </w:r>
      <w:r w:rsidR="00B53502">
        <w:t xml:space="preserve"> ibid </w:t>
      </w:r>
      <w:r w:rsidR="0016690D">
        <w:t>98.</w:t>
      </w:r>
      <w:r w:rsidR="00610598">
        <w:t xml:space="preserve"> (Emphasis added).</w:t>
      </w:r>
    </w:p>
  </w:footnote>
  <w:footnote w:id="380">
    <w:p w:rsidR="00F45B82" w:rsidRDefault="00F45B82" w14:paraId="2F059435" w14:textId="656B87CA">
      <w:pPr>
        <w:pStyle w:val="FootnoteText"/>
      </w:pPr>
      <w:r>
        <w:rPr>
          <w:rStyle w:val="FootnoteReference"/>
        </w:rPr>
        <w:footnoteRef/>
      </w:r>
      <w:r>
        <w:t xml:space="preserve"> </w:t>
      </w:r>
      <w:r w:rsidR="00B53502">
        <w:t xml:space="preserve"> </w:t>
      </w:r>
      <w:r w:rsidR="00415CCE">
        <w:t>i</w:t>
      </w:r>
      <w:r w:rsidR="00044DBD">
        <w:t>bid</w:t>
      </w:r>
      <w:r w:rsidR="00415CCE">
        <w:t>.</w:t>
      </w:r>
    </w:p>
  </w:footnote>
  <w:footnote w:id="381">
    <w:p w:rsidR="00D517D8" w:rsidRDefault="00D517D8" w14:paraId="205BBABF" w14:textId="4F7BC15F">
      <w:pPr>
        <w:pStyle w:val="FootnoteText"/>
      </w:pPr>
      <w:r>
        <w:rPr>
          <w:rStyle w:val="FootnoteReference"/>
        </w:rPr>
        <w:footnoteRef/>
      </w:r>
      <w:r w:rsidR="00AF4449">
        <w:t xml:space="preserve"> </w:t>
      </w:r>
      <w:r>
        <w:t xml:space="preserve"> </w:t>
      </w:r>
      <w:r w:rsidR="00044DBD">
        <w:t xml:space="preserve">ibid </w:t>
      </w:r>
      <w:r w:rsidR="00BD5DD8">
        <w:t>101.</w:t>
      </w:r>
    </w:p>
  </w:footnote>
  <w:footnote w:id="382">
    <w:p w:rsidR="00414583" w:rsidRDefault="00414583" w14:paraId="49B8CF1A" w14:textId="59B62F4E">
      <w:pPr>
        <w:pStyle w:val="FootnoteText"/>
      </w:pPr>
      <w:r>
        <w:rPr>
          <w:rStyle w:val="FootnoteReference"/>
        </w:rPr>
        <w:footnoteRef/>
      </w:r>
      <w:r>
        <w:t xml:space="preserve"> </w:t>
      </w:r>
      <w:r w:rsidR="00AF4449">
        <w:t xml:space="preserve"> </w:t>
      </w:r>
      <w:r w:rsidR="00044DBD">
        <w:t xml:space="preserve">ibid </w:t>
      </w:r>
      <w:r>
        <w:t>103-104.</w:t>
      </w:r>
    </w:p>
  </w:footnote>
  <w:footnote w:id="383">
    <w:p w:rsidR="003D73BD" w:rsidRDefault="003D73BD" w14:paraId="4477BCE1" w14:textId="30A4F3C8">
      <w:pPr>
        <w:pStyle w:val="FootnoteText"/>
      </w:pPr>
      <w:r>
        <w:rPr>
          <w:rStyle w:val="FootnoteReference"/>
        </w:rPr>
        <w:footnoteRef/>
      </w:r>
      <w:r>
        <w:t xml:space="preserve"> Bridgeman</w:t>
      </w:r>
      <w:r w:rsidR="00EB6DFA">
        <w:t xml:space="preserve"> (n3</w:t>
      </w:r>
      <w:r w:rsidR="00B53502">
        <w:t>5</w:t>
      </w:r>
      <w:r w:rsidR="00A54418">
        <w:t>1</w:t>
      </w:r>
      <w:r w:rsidR="00EB6DFA">
        <w:t xml:space="preserve">) </w:t>
      </w:r>
      <w:r>
        <w:t>137.</w:t>
      </w:r>
    </w:p>
  </w:footnote>
  <w:footnote w:id="384">
    <w:p w:rsidR="00E5044E" w:rsidRDefault="00E5044E" w14:paraId="5466BD71" w14:textId="4A338A1E">
      <w:pPr>
        <w:pStyle w:val="FootnoteText"/>
      </w:pPr>
      <w:r>
        <w:rPr>
          <w:rStyle w:val="FootnoteReference"/>
        </w:rPr>
        <w:footnoteRef/>
      </w:r>
      <w:r>
        <w:t xml:space="preserve"> Stephen Smith, </w:t>
      </w:r>
      <w:r w:rsidR="008631E7">
        <w:t>‘</w:t>
      </w:r>
      <w:r w:rsidR="00344305">
        <w:t>Individualised claims of Conscience</w:t>
      </w:r>
      <w:r w:rsidR="00CE391E">
        <w:t>, Clinical Judgement and Best Interests’ (2018) 26 Health Care An</w:t>
      </w:r>
      <w:r w:rsidR="004458A3">
        <w:t>alysis 81, 84.</w:t>
      </w:r>
      <w:r w:rsidR="00C37746">
        <w:t xml:space="preserve"> </w:t>
      </w:r>
    </w:p>
  </w:footnote>
  <w:footnote w:id="385">
    <w:p w:rsidR="00A47224" w:rsidRDefault="00A47224" w14:paraId="0F8D4C7E" w14:textId="1AA4503C">
      <w:pPr>
        <w:pStyle w:val="FootnoteText"/>
      </w:pPr>
      <w:r>
        <w:rPr>
          <w:rStyle w:val="FootnoteReference"/>
        </w:rPr>
        <w:footnoteRef/>
      </w:r>
      <w:r>
        <w:t xml:space="preserve"> Bridgeman</w:t>
      </w:r>
      <w:r w:rsidR="00EB6DFA">
        <w:t xml:space="preserve"> (n3</w:t>
      </w:r>
      <w:r w:rsidR="00B53502">
        <w:t>5</w:t>
      </w:r>
      <w:r w:rsidR="00A54418">
        <w:t>1</w:t>
      </w:r>
      <w:r w:rsidR="00EB6DFA">
        <w:t xml:space="preserve">) </w:t>
      </w:r>
      <w:r>
        <w:t xml:space="preserve">138-140. </w:t>
      </w:r>
    </w:p>
  </w:footnote>
  <w:footnote w:id="386">
    <w:p w:rsidR="005F4163" w:rsidRDefault="005F4163" w14:paraId="20A804AE" w14:textId="391ADB02">
      <w:pPr>
        <w:pStyle w:val="FootnoteText"/>
      </w:pPr>
      <w:r>
        <w:rPr>
          <w:rStyle w:val="FootnoteReference"/>
        </w:rPr>
        <w:footnoteRef/>
      </w:r>
      <w:r w:rsidR="00EB6DFA">
        <w:t xml:space="preserve"> ibid </w:t>
      </w:r>
      <w:r>
        <w:t>152.</w:t>
      </w:r>
    </w:p>
  </w:footnote>
  <w:footnote w:id="387">
    <w:p w:rsidR="00A0728C" w:rsidP="00A0728C" w:rsidRDefault="00A0728C" w14:paraId="1961C200" w14:textId="0F694AA0">
      <w:pPr>
        <w:pStyle w:val="FootnoteText"/>
      </w:pPr>
      <w:r>
        <w:rPr>
          <w:rStyle w:val="FootnoteReference"/>
        </w:rPr>
        <w:footnoteRef/>
      </w:r>
      <w:r>
        <w:t xml:space="preserve"> Birchley</w:t>
      </w:r>
      <w:r w:rsidR="00EB6DFA">
        <w:t xml:space="preserve"> (n26) </w:t>
      </w:r>
      <w:r>
        <w:t>133.</w:t>
      </w:r>
    </w:p>
  </w:footnote>
  <w:footnote w:id="388">
    <w:p w:rsidR="00787F02" w:rsidRDefault="00787F02" w14:paraId="7C36DEB0" w14:textId="5D406930">
      <w:pPr>
        <w:pStyle w:val="FootnoteText"/>
      </w:pPr>
      <w:r>
        <w:rPr>
          <w:rStyle w:val="FootnoteReference"/>
        </w:rPr>
        <w:footnoteRef/>
      </w:r>
      <w:r w:rsidR="00CC61DA">
        <w:t xml:space="preserve"> </w:t>
      </w:r>
      <w:r w:rsidRPr="00DF2A26">
        <w:t>Pruski</w:t>
      </w:r>
      <w:r w:rsidR="00EB6DFA">
        <w:t xml:space="preserve"> (n</w:t>
      </w:r>
      <w:r w:rsidR="00CC61DA">
        <w:t xml:space="preserve">71) </w:t>
      </w:r>
      <w:r w:rsidR="003078B7">
        <w:t>91.</w:t>
      </w:r>
    </w:p>
  </w:footnote>
  <w:footnote w:id="389">
    <w:p w:rsidR="004D2C92" w:rsidP="004D2C92" w:rsidRDefault="004D2C92" w14:paraId="7203844C" w14:textId="0089084E">
      <w:pPr>
        <w:pStyle w:val="FootnoteText"/>
      </w:pPr>
      <w:r>
        <w:rPr>
          <w:rStyle w:val="FootnoteReference"/>
        </w:rPr>
        <w:footnoteRef/>
      </w:r>
      <w:r>
        <w:t xml:space="preserve"> Birchley</w:t>
      </w:r>
      <w:r w:rsidR="00CC61DA">
        <w:t xml:space="preserve"> (n26) </w:t>
      </w:r>
      <w:r>
        <w:t>133.</w:t>
      </w:r>
    </w:p>
  </w:footnote>
  <w:footnote w:id="390">
    <w:p w:rsidRPr="00C2128E" w:rsidR="00786F2E" w:rsidP="00C2128E" w:rsidRDefault="00786F2E" w14:paraId="5A2D1D1E" w14:textId="154B80DA">
      <w:pPr>
        <w:rPr>
          <w:sz w:val="20"/>
          <w:szCs w:val="20"/>
        </w:rPr>
      </w:pPr>
      <w:r w:rsidRPr="00C2128E">
        <w:rPr>
          <w:rStyle w:val="FootnoteReference"/>
          <w:sz w:val="20"/>
          <w:szCs w:val="20"/>
        </w:rPr>
        <w:footnoteRef/>
      </w:r>
      <w:r w:rsidRPr="00C2128E">
        <w:rPr>
          <w:sz w:val="20"/>
          <w:szCs w:val="20"/>
        </w:rPr>
        <w:t xml:space="preserve"> </w:t>
      </w:r>
      <w:r w:rsidR="00C2128E">
        <w:rPr>
          <w:sz w:val="20"/>
          <w:szCs w:val="20"/>
        </w:rPr>
        <w:t xml:space="preserve">Colin </w:t>
      </w:r>
      <w:r w:rsidRPr="00C2128E" w:rsidR="00C2128E">
        <w:rPr>
          <w:sz w:val="20"/>
          <w:szCs w:val="20"/>
        </w:rPr>
        <w:t>Wallis</w:t>
      </w:r>
      <w:r w:rsidR="00CC61DA">
        <w:rPr>
          <w:sz w:val="20"/>
          <w:szCs w:val="20"/>
        </w:rPr>
        <w:t xml:space="preserve"> (n</w:t>
      </w:r>
      <w:r w:rsidR="0078701B">
        <w:rPr>
          <w:sz w:val="20"/>
          <w:szCs w:val="20"/>
        </w:rPr>
        <w:t>14</w:t>
      </w:r>
      <w:r w:rsidR="00A54418">
        <w:rPr>
          <w:sz w:val="20"/>
          <w:szCs w:val="20"/>
        </w:rPr>
        <w:t>4</w:t>
      </w:r>
      <w:r w:rsidR="0078701B">
        <w:rPr>
          <w:sz w:val="20"/>
          <w:szCs w:val="20"/>
        </w:rPr>
        <w:t xml:space="preserve">) </w:t>
      </w:r>
      <w:r w:rsidR="009372E6">
        <w:rPr>
          <w:sz w:val="20"/>
          <w:szCs w:val="20"/>
        </w:rPr>
        <w:t>414.</w:t>
      </w:r>
    </w:p>
  </w:footnote>
  <w:footnote w:id="391">
    <w:p w:rsidRPr="00AE0864" w:rsidR="00CC1F7E" w:rsidP="00AE0864" w:rsidRDefault="00CC1F7E" w14:paraId="79D02E43" w14:textId="667F6438">
      <w:pPr>
        <w:rPr>
          <w:sz w:val="20"/>
          <w:szCs w:val="20"/>
        </w:rPr>
      </w:pPr>
      <w:r w:rsidRPr="00C2128E">
        <w:rPr>
          <w:rStyle w:val="FootnoteReference"/>
          <w:sz w:val="20"/>
          <w:szCs w:val="20"/>
        </w:rPr>
        <w:footnoteRef/>
      </w:r>
      <w:r w:rsidR="0078701B">
        <w:rPr>
          <w:sz w:val="20"/>
          <w:szCs w:val="20"/>
        </w:rPr>
        <w:t xml:space="preserve"> </w:t>
      </w:r>
      <w:r w:rsidR="00415CCE">
        <w:rPr>
          <w:sz w:val="20"/>
          <w:szCs w:val="20"/>
        </w:rPr>
        <w:t>i</w:t>
      </w:r>
      <w:r w:rsidR="0078701B">
        <w:rPr>
          <w:sz w:val="20"/>
          <w:szCs w:val="20"/>
        </w:rPr>
        <w:t>bid</w:t>
      </w:r>
      <w:r w:rsidR="00415CCE">
        <w:rPr>
          <w:sz w:val="20"/>
          <w:szCs w:val="20"/>
        </w:rPr>
        <w:t>.</w:t>
      </w:r>
    </w:p>
  </w:footnote>
  <w:footnote w:id="392">
    <w:p w:rsidR="008D598D" w:rsidRDefault="008D598D" w14:paraId="54AD49FB" w14:textId="5478E600">
      <w:pPr>
        <w:pStyle w:val="FootnoteText"/>
      </w:pPr>
      <w:r>
        <w:rPr>
          <w:rStyle w:val="FootnoteReference"/>
        </w:rPr>
        <w:footnoteRef/>
      </w:r>
      <w:r>
        <w:t xml:space="preserve"> Judith Harwin, </w:t>
      </w:r>
      <w:r w:rsidR="00A83244">
        <w:t xml:space="preserve">Mary Ryan and Sophie Kershaw, ‘A problem-solving approach to family justice’ </w:t>
      </w:r>
      <w:r w:rsidR="009E05A1">
        <w:t xml:space="preserve">in </w:t>
      </w:r>
      <w:r w:rsidRPr="00C0194F" w:rsidR="009E05A1">
        <w:rPr>
          <w:i/>
          <w:iCs/>
        </w:rPr>
        <w:t>Justice for Children and Families: A Developmental Perspective</w:t>
      </w:r>
      <w:r w:rsidRPr="00C0194F" w:rsidR="008474AC">
        <w:rPr>
          <w:i/>
          <w:iCs/>
        </w:rPr>
        <w:t xml:space="preserve"> </w:t>
      </w:r>
      <w:r w:rsidRPr="00C0194F" w:rsidR="008474AC">
        <w:t>(</w:t>
      </w:r>
      <w:r w:rsidR="008474AC">
        <w:t>Royal College of Psychiatrists, Cambridge 2018) 68.</w:t>
      </w:r>
    </w:p>
  </w:footnote>
  <w:footnote w:id="393">
    <w:p w:rsidR="00451A45" w:rsidRDefault="00451A45" w14:paraId="1C0AAA99" w14:textId="47C8F6FB">
      <w:pPr>
        <w:pStyle w:val="FootnoteText"/>
      </w:pPr>
      <w:r>
        <w:rPr>
          <w:rStyle w:val="FootnoteReference"/>
        </w:rPr>
        <w:footnoteRef/>
      </w:r>
      <w:r>
        <w:t xml:space="preserve"> </w:t>
      </w:r>
      <w:r w:rsidR="0078701B">
        <w:t xml:space="preserve">ibid </w:t>
      </w:r>
      <w:r w:rsidR="00066C8D">
        <w:t>69.</w:t>
      </w:r>
    </w:p>
  </w:footnote>
  <w:footnote w:id="394">
    <w:p w:rsidR="00094E1D" w:rsidRDefault="00094E1D" w14:paraId="59046131" w14:textId="0A32E323">
      <w:pPr>
        <w:pStyle w:val="FootnoteText"/>
      </w:pPr>
      <w:r>
        <w:rPr>
          <w:rStyle w:val="FootnoteReference"/>
        </w:rPr>
        <w:footnoteRef/>
      </w:r>
      <w:r w:rsidR="00415CCE">
        <w:t xml:space="preserve"> i</w:t>
      </w:r>
      <w:r w:rsidR="0078701B">
        <w:t>bid</w:t>
      </w:r>
      <w:r w:rsidR="00415CCE">
        <w:t>.</w:t>
      </w:r>
    </w:p>
  </w:footnote>
  <w:footnote w:id="395">
    <w:p w:rsidR="00E3687F" w:rsidRDefault="00E3687F" w14:paraId="26CA8E4C" w14:textId="77117051">
      <w:pPr>
        <w:pStyle w:val="FootnoteText"/>
      </w:pPr>
      <w:r>
        <w:rPr>
          <w:rStyle w:val="FootnoteReference"/>
        </w:rPr>
        <w:footnoteRef/>
      </w:r>
      <w:r>
        <w:t xml:space="preserve"> </w:t>
      </w:r>
      <w:r w:rsidR="0078701B">
        <w:t xml:space="preserve">ibid </w:t>
      </w:r>
      <w:r w:rsidR="00A57E2F">
        <w:t>70.</w:t>
      </w:r>
    </w:p>
  </w:footnote>
  <w:footnote w:id="396">
    <w:p w:rsidR="006E09D5" w:rsidRDefault="006E09D5" w14:paraId="0E00FEBD" w14:textId="3F919105">
      <w:pPr>
        <w:pStyle w:val="FootnoteText"/>
      </w:pPr>
      <w:r>
        <w:rPr>
          <w:rStyle w:val="FootnoteReference"/>
        </w:rPr>
        <w:footnoteRef/>
      </w:r>
      <w:r>
        <w:t xml:space="preserve"> </w:t>
      </w:r>
      <w:r w:rsidR="0078701B">
        <w:t xml:space="preserve">ibid </w:t>
      </w:r>
      <w:r w:rsidR="00D4059B">
        <w:t>71</w:t>
      </w:r>
      <w:r w:rsidR="00220E09">
        <w:t>-73.</w:t>
      </w:r>
    </w:p>
  </w:footnote>
  <w:footnote w:id="397">
    <w:p w:rsidR="00911DBA" w:rsidRDefault="00911DBA" w14:paraId="3A7E47DC" w14:textId="5B29638D">
      <w:pPr>
        <w:pStyle w:val="FootnoteText"/>
      </w:pPr>
      <w:r>
        <w:rPr>
          <w:rStyle w:val="FootnoteReference"/>
        </w:rPr>
        <w:footnoteRef/>
      </w:r>
      <w:r>
        <w:t xml:space="preserve"> </w:t>
      </w:r>
      <w:r w:rsidR="0078701B">
        <w:t xml:space="preserve">ibid </w:t>
      </w:r>
      <w:r w:rsidR="00602F27">
        <w:t>74.</w:t>
      </w:r>
    </w:p>
  </w:footnote>
  <w:footnote w:id="398">
    <w:p w:rsidRPr="0089222E" w:rsidR="007C1CE6" w:rsidP="0089222E" w:rsidRDefault="007C1CE6" w14:paraId="70464185" w14:textId="680107AB">
      <w:pPr>
        <w:rPr>
          <w:sz w:val="20"/>
          <w:szCs w:val="20"/>
        </w:rPr>
      </w:pPr>
      <w:r w:rsidRPr="0089222E">
        <w:rPr>
          <w:rStyle w:val="FootnoteReference"/>
          <w:sz w:val="20"/>
          <w:szCs w:val="20"/>
        </w:rPr>
        <w:footnoteRef/>
      </w:r>
      <w:r w:rsidRPr="0089222E">
        <w:rPr>
          <w:sz w:val="20"/>
          <w:szCs w:val="20"/>
        </w:rPr>
        <w:t xml:space="preserve"> </w:t>
      </w:r>
      <w:r w:rsidRPr="0089222E" w:rsidR="003E15AF">
        <w:rPr>
          <w:sz w:val="20"/>
          <w:szCs w:val="20"/>
        </w:rPr>
        <w:t>Benbow</w:t>
      </w:r>
      <w:r w:rsidR="0078701B">
        <w:rPr>
          <w:sz w:val="20"/>
          <w:szCs w:val="20"/>
        </w:rPr>
        <w:t xml:space="preserve"> (n</w:t>
      </w:r>
      <w:r w:rsidR="005E548E">
        <w:rPr>
          <w:sz w:val="20"/>
          <w:szCs w:val="20"/>
        </w:rPr>
        <w:t>1</w:t>
      </w:r>
      <w:r w:rsidR="00A54418">
        <w:rPr>
          <w:sz w:val="20"/>
          <w:szCs w:val="20"/>
        </w:rPr>
        <w:t>60</w:t>
      </w:r>
      <w:r w:rsidR="005E548E">
        <w:rPr>
          <w:sz w:val="20"/>
          <w:szCs w:val="20"/>
        </w:rPr>
        <w:t xml:space="preserve">) </w:t>
      </w:r>
      <w:r w:rsidRPr="0089222E" w:rsidR="0089222E">
        <w:rPr>
          <w:sz w:val="20"/>
          <w:szCs w:val="20"/>
        </w:rPr>
        <w:t>307.</w:t>
      </w:r>
    </w:p>
  </w:footnote>
  <w:footnote w:id="399">
    <w:p w:rsidRPr="0086104F" w:rsidR="009B3236" w:rsidP="009B3236" w:rsidRDefault="009B3236" w14:paraId="2D9BC3A9" w14:textId="0B9F515A">
      <w:pPr>
        <w:pStyle w:val="FootnoteText"/>
        <w:rPr>
          <w:rFonts w:cstheme="minorHAnsi"/>
          <w:color w:val="000000" w:themeColor="text1"/>
        </w:rPr>
      </w:pPr>
      <w:r w:rsidRPr="0086104F">
        <w:rPr>
          <w:rStyle w:val="FootnoteReference"/>
        </w:rPr>
        <w:footnoteRef/>
      </w:r>
      <w:r w:rsidR="00574186">
        <w:t xml:space="preserve"> </w:t>
      </w:r>
      <w:r w:rsidRPr="0086104F">
        <w:rPr>
          <w:color w:val="000000" w:themeColor="text1"/>
        </w:rPr>
        <w:t>McLennan</w:t>
      </w:r>
      <w:r w:rsidR="00574186">
        <w:rPr>
          <w:color w:val="000000" w:themeColor="text1"/>
        </w:rPr>
        <w:t xml:space="preserve"> (n41)</w:t>
      </w:r>
      <w:r w:rsidR="00415CCE">
        <w:rPr>
          <w:color w:val="000000" w:themeColor="text1"/>
        </w:rPr>
        <w:t>.</w:t>
      </w:r>
    </w:p>
  </w:footnote>
  <w:footnote w:id="400">
    <w:p w:rsidR="00C77EF4" w:rsidP="00C77EF4" w:rsidRDefault="00C77EF4" w14:paraId="724735D7" w14:textId="7A00918E">
      <w:pPr>
        <w:pStyle w:val="FootnoteText"/>
      </w:pPr>
      <w:r>
        <w:rPr>
          <w:rStyle w:val="FootnoteReference"/>
        </w:rPr>
        <w:footnoteRef/>
      </w:r>
      <w:r>
        <w:t xml:space="preserve"> </w:t>
      </w:r>
      <w:r w:rsidRPr="00F416FE" w:rsidR="00D6411A">
        <w:t>Forbat</w:t>
      </w:r>
      <w:r w:rsidR="00574186">
        <w:t xml:space="preserve"> (n47)</w:t>
      </w:r>
      <w:r w:rsidR="00415CCE">
        <w:t>.</w:t>
      </w:r>
    </w:p>
  </w:footnote>
  <w:footnote w:id="401">
    <w:p w:rsidRPr="0072150F" w:rsidR="00772398" w:rsidP="0072150F" w:rsidRDefault="00772398" w14:paraId="675B38BA" w14:textId="2803082F">
      <w:pPr>
        <w:rPr>
          <w:sz w:val="24"/>
          <w:szCs w:val="24"/>
        </w:rPr>
      </w:pPr>
      <w:r>
        <w:rPr>
          <w:rStyle w:val="FootnoteReference"/>
        </w:rPr>
        <w:footnoteRef/>
      </w:r>
      <w:r>
        <w:t xml:space="preserve"> </w:t>
      </w:r>
      <w:r w:rsidRPr="00A33DE0" w:rsidR="007A5CDA">
        <w:rPr>
          <w:sz w:val="20"/>
          <w:szCs w:val="20"/>
        </w:rPr>
        <w:t>Jesmont</w:t>
      </w:r>
      <w:r w:rsidR="00574186">
        <w:rPr>
          <w:sz w:val="20"/>
          <w:szCs w:val="20"/>
        </w:rPr>
        <w:t xml:space="preserve"> (n16) 1238</w:t>
      </w:r>
      <w:r w:rsidRPr="00A33DE0" w:rsidR="00A33DE0">
        <w:rPr>
          <w:sz w:val="20"/>
          <w:szCs w:val="20"/>
        </w:rPr>
        <w:t>.</w:t>
      </w:r>
    </w:p>
  </w:footnote>
  <w:footnote w:id="402">
    <w:p w:rsidR="003554D6" w:rsidP="003554D6" w:rsidRDefault="003554D6" w14:paraId="0A0D4D2E" w14:textId="2F7F542E">
      <w:pPr>
        <w:pStyle w:val="FootnoteText"/>
      </w:pPr>
      <w:r>
        <w:rPr>
          <w:rStyle w:val="FootnoteReference"/>
        </w:rPr>
        <w:footnoteRef/>
      </w:r>
      <w:r>
        <w:t xml:space="preserve"> </w:t>
      </w:r>
      <w:r w:rsidRPr="00F716CB">
        <w:t xml:space="preserve"> Auckland</w:t>
      </w:r>
      <w:r w:rsidR="00574186">
        <w:t xml:space="preserve"> (n</w:t>
      </w:r>
      <w:r w:rsidR="00F31769">
        <w:t>8</w:t>
      </w:r>
      <w:r w:rsidR="00B53502">
        <w:t>8</w:t>
      </w:r>
      <w:r w:rsidR="00F31769">
        <w:t xml:space="preserve">) </w:t>
      </w:r>
      <w:r>
        <w:t>649.</w:t>
      </w:r>
    </w:p>
  </w:footnote>
  <w:footnote w:id="403">
    <w:p w:rsidR="008F4953" w:rsidRDefault="008F4953" w14:paraId="465F6ED8" w14:textId="7987DBC0">
      <w:pPr>
        <w:pStyle w:val="FootnoteText"/>
      </w:pPr>
      <w:r>
        <w:rPr>
          <w:rStyle w:val="FootnoteReference"/>
        </w:rPr>
        <w:footnoteRef/>
      </w:r>
      <w:r>
        <w:t xml:space="preserve"> Woolley</w:t>
      </w:r>
      <w:r w:rsidR="00F31769">
        <w:t xml:space="preserve"> (n16</w:t>
      </w:r>
      <w:r w:rsidR="00BE53F6">
        <w:t>8</w:t>
      </w:r>
      <w:r w:rsidR="00F31769">
        <w:t>)</w:t>
      </w:r>
      <w:r w:rsidR="00415CCE">
        <w:t>.</w:t>
      </w:r>
    </w:p>
  </w:footnote>
  <w:footnote w:id="404">
    <w:p w:rsidR="00D55D10" w:rsidP="00D55D10" w:rsidRDefault="00D55D10" w14:paraId="75010A0D" w14:textId="7418EC9C">
      <w:pPr>
        <w:pStyle w:val="FootnoteText"/>
      </w:pPr>
      <w:r>
        <w:rPr>
          <w:rStyle w:val="FootnoteReference"/>
        </w:rPr>
        <w:footnoteRef/>
      </w:r>
      <w:r>
        <w:t xml:space="preserve"> </w:t>
      </w:r>
      <w:r w:rsidR="007D6700">
        <w:t xml:space="preserve">As published </w:t>
      </w:r>
      <w:r w:rsidR="00415CCE">
        <w:t>on</w:t>
      </w:r>
      <w:r w:rsidR="007D6700">
        <w:t xml:space="preserve"> 15</w:t>
      </w:r>
      <w:r w:rsidR="00FD0BEC">
        <w:t xml:space="preserve"> March 202</w:t>
      </w:r>
      <w:r w:rsidR="007D6700">
        <w:t>2</w:t>
      </w:r>
      <w:r>
        <w:t xml:space="preserve"> as part of the Ministry of Justice</w:t>
      </w:r>
      <w:r w:rsidR="007D6700">
        <w:t>,</w:t>
      </w:r>
      <w:r>
        <w:t xml:space="preserve"> </w:t>
      </w:r>
      <w:r w:rsidRPr="00F457CC">
        <w:rPr>
          <w:i/>
          <w:iCs/>
        </w:rPr>
        <w:t>Legal Aid Means Test Review</w:t>
      </w:r>
      <w:r w:rsidR="007D6700">
        <w:t xml:space="preserve"> (</w:t>
      </w:r>
      <w:r w:rsidR="00D405BA">
        <w:t xml:space="preserve">15 March </w:t>
      </w:r>
      <w:r w:rsidR="007D6700">
        <w:t>2022)</w:t>
      </w:r>
      <w:r w:rsidR="009F14C7">
        <w:t xml:space="preserve"> </w:t>
      </w:r>
      <w:r w:rsidR="0034067F">
        <w:t>[32</w:t>
      </w:r>
      <w:r w:rsidR="00261CDD">
        <w:t>8</w:t>
      </w:r>
      <w:r w:rsidR="0034067F">
        <w:t>]-[3</w:t>
      </w:r>
      <w:r w:rsidR="007247C2">
        <w:t>33</w:t>
      </w:r>
      <w:r w:rsidR="0034067F">
        <w:t>].</w:t>
      </w:r>
    </w:p>
  </w:footnote>
  <w:footnote w:id="405">
    <w:p w:rsidRPr="00F716CB" w:rsidR="0072150F" w:rsidP="00F716CB" w:rsidRDefault="0072150F" w14:paraId="2A2F5EBD" w14:textId="262C156C">
      <w:pPr>
        <w:rPr>
          <w:sz w:val="20"/>
          <w:szCs w:val="20"/>
        </w:rPr>
      </w:pPr>
      <w:r w:rsidRPr="0075037B">
        <w:rPr>
          <w:rStyle w:val="FootnoteReference"/>
          <w:sz w:val="20"/>
          <w:szCs w:val="20"/>
        </w:rPr>
        <w:footnoteRef/>
      </w:r>
      <w:r w:rsidRPr="0075037B">
        <w:rPr>
          <w:sz w:val="20"/>
          <w:szCs w:val="20"/>
        </w:rPr>
        <w:t xml:space="preserve"> </w:t>
      </w:r>
      <w:r w:rsidRPr="0075037B" w:rsidR="0075037B">
        <w:rPr>
          <w:sz w:val="20"/>
          <w:szCs w:val="20"/>
        </w:rPr>
        <w:t>Wilkinson</w:t>
      </w:r>
      <w:r w:rsidR="00F31769">
        <w:rPr>
          <w:sz w:val="20"/>
          <w:szCs w:val="20"/>
        </w:rPr>
        <w:t xml:space="preserve"> (n</w:t>
      </w:r>
      <w:r w:rsidR="00BE53F6">
        <w:rPr>
          <w:sz w:val="20"/>
          <w:szCs w:val="20"/>
        </w:rPr>
        <w:t>200</w:t>
      </w:r>
      <w:r w:rsidR="00E76143">
        <w:rPr>
          <w:sz w:val="20"/>
          <w:szCs w:val="20"/>
        </w:rPr>
        <w:t xml:space="preserve">) </w:t>
      </w:r>
      <w:r w:rsidRPr="0075037B" w:rsidR="0075037B">
        <w:rPr>
          <w:sz w:val="20"/>
          <w:szCs w:val="20"/>
        </w:rPr>
        <w:t>o2000</w:t>
      </w:r>
      <w:r w:rsidR="00415CCE">
        <w:rPr>
          <w:sz w:val="20"/>
          <w:szCs w:val="20"/>
        </w:rPr>
        <w:t>.</w:t>
      </w:r>
    </w:p>
  </w:footnote>
  <w:footnote w:id="406">
    <w:p w:rsidRPr="002E13F0" w:rsidR="00F716CB" w:rsidP="002E13F0" w:rsidRDefault="00F716CB" w14:paraId="5ED11303" w14:textId="31AE35BA">
      <w:pPr>
        <w:rPr>
          <w:sz w:val="24"/>
          <w:szCs w:val="24"/>
        </w:rPr>
      </w:pPr>
      <w:r>
        <w:rPr>
          <w:rStyle w:val="FootnoteReference"/>
        </w:rPr>
        <w:footnoteRef/>
      </w:r>
      <w:r w:rsidRPr="00F716CB">
        <w:rPr>
          <w:sz w:val="20"/>
          <w:szCs w:val="20"/>
        </w:rPr>
        <w:t xml:space="preserve"> Auckland</w:t>
      </w:r>
      <w:r w:rsidR="00E76143">
        <w:rPr>
          <w:sz w:val="20"/>
          <w:szCs w:val="20"/>
        </w:rPr>
        <w:t xml:space="preserve"> (n8</w:t>
      </w:r>
      <w:r w:rsidR="00B53502">
        <w:rPr>
          <w:sz w:val="20"/>
          <w:szCs w:val="20"/>
        </w:rPr>
        <w:t>8</w:t>
      </w:r>
      <w:r w:rsidR="00E76143">
        <w:rPr>
          <w:sz w:val="20"/>
          <w:szCs w:val="20"/>
        </w:rPr>
        <w:t xml:space="preserve">) </w:t>
      </w:r>
      <w:r w:rsidR="00FA4146">
        <w:rPr>
          <w:sz w:val="20"/>
          <w:szCs w:val="20"/>
        </w:rPr>
        <w:t>644.</w:t>
      </w:r>
    </w:p>
  </w:footnote>
  <w:footnote w:id="407">
    <w:p w:rsidR="00374894" w:rsidRDefault="00374894" w14:paraId="5AFFEEA6" w14:textId="2D7DCA1F">
      <w:pPr>
        <w:pStyle w:val="FootnoteText"/>
      </w:pPr>
      <w:r>
        <w:rPr>
          <w:rStyle w:val="FootnoteReference"/>
        </w:rPr>
        <w:footnoteRef/>
      </w:r>
      <w:r w:rsidR="00E76143">
        <w:t xml:space="preserve"> ibid </w:t>
      </w:r>
      <w:r>
        <w:t>647-648.</w:t>
      </w:r>
    </w:p>
  </w:footnote>
  <w:footnote w:id="408">
    <w:p w:rsidR="00FD5A19" w:rsidRDefault="00FD5A19" w14:paraId="15670A80" w14:textId="7DD5D739">
      <w:pPr>
        <w:pStyle w:val="FootnoteText"/>
      </w:pPr>
      <w:r>
        <w:rPr>
          <w:rStyle w:val="FootnoteReference"/>
        </w:rPr>
        <w:footnoteRef/>
      </w:r>
      <w:r w:rsidR="00F45DE9">
        <w:t xml:space="preserve"> ibid</w:t>
      </w:r>
      <w:r>
        <w:t xml:space="preserve"> 651.</w:t>
      </w:r>
    </w:p>
  </w:footnote>
  <w:footnote w:id="409">
    <w:p w:rsidR="000D10BA" w:rsidRDefault="000D10BA" w14:paraId="4CF4E0AB" w14:textId="583ED900">
      <w:pPr>
        <w:pStyle w:val="FootnoteText"/>
      </w:pPr>
      <w:r>
        <w:rPr>
          <w:rStyle w:val="FootnoteReference"/>
        </w:rPr>
        <w:footnoteRef/>
      </w:r>
      <w:r>
        <w:t xml:space="preserve"> </w:t>
      </w:r>
      <w:r w:rsidR="00F45DE9">
        <w:t xml:space="preserve">ibid </w:t>
      </w:r>
      <w:r>
        <w:t>655.</w:t>
      </w:r>
    </w:p>
  </w:footnote>
  <w:footnote w:id="410">
    <w:p w:rsidR="004E42D8" w:rsidRDefault="004E42D8" w14:paraId="6D9BB4EA" w14:textId="58310F0D">
      <w:pPr>
        <w:pStyle w:val="FootnoteText"/>
      </w:pPr>
      <w:r>
        <w:rPr>
          <w:rStyle w:val="FootnoteReference"/>
        </w:rPr>
        <w:footnoteRef/>
      </w:r>
      <w:r w:rsidR="00F45DE9">
        <w:t xml:space="preserve"> ibid</w:t>
      </w:r>
      <w:r>
        <w:t xml:space="preserve"> </w:t>
      </w:r>
      <w:r w:rsidR="00E54790">
        <w:t>660.</w:t>
      </w:r>
    </w:p>
  </w:footnote>
  <w:footnote w:id="411">
    <w:p w:rsidR="00A405C3" w:rsidRDefault="00A405C3" w14:paraId="223DC841" w14:textId="7C36B45D">
      <w:pPr>
        <w:pStyle w:val="FootnoteText"/>
      </w:pPr>
      <w:r>
        <w:rPr>
          <w:rStyle w:val="FootnoteReference"/>
        </w:rPr>
        <w:footnoteRef/>
      </w:r>
      <w:r>
        <w:t xml:space="preserve"> </w:t>
      </w:r>
      <w:r w:rsidR="00F45DE9">
        <w:t xml:space="preserve">ibid </w:t>
      </w:r>
      <w:r>
        <w:t>671</w:t>
      </w:r>
      <w:r w:rsidR="00415CCE">
        <w:t>.</w:t>
      </w:r>
    </w:p>
  </w:footnote>
  <w:footnote w:id="412">
    <w:p w:rsidR="007B7390" w:rsidP="007B7390" w:rsidRDefault="007B7390" w14:paraId="6E0E4F70" w14:textId="29EDDB6B">
      <w:pPr>
        <w:pStyle w:val="FootnoteText"/>
      </w:pPr>
      <w:r>
        <w:rPr>
          <w:rStyle w:val="FootnoteReference"/>
        </w:rPr>
        <w:footnoteRef/>
      </w:r>
      <w:r>
        <w:t xml:space="preserve"> </w:t>
      </w:r>
      <w:r w:rsidR="00415CCE">
        <w:t>i</w:t>
      </w:r>
      <w:r w:rsidR="00F45DE9">
        <w:t>bid</w:t>
      </w:r>
      <w:r w:rsidR="00EE7C34">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B77BF"/>
    <w:multiLevelType w:val="hybridMultilevel"/>
    <w:tmpl w:val="EB12CD9A"/>
    <w:lvl w:ilvl="0" w:tplc="181AF9C0">
      <w:start w:val="2"/>
      <w:numFmt w:val="decimal"/>
      <w:lvlText w:val="%1."/>
      <w:lvlJc w:val="left"/>
      <w:pPr>
        <w:ind w:left="720" w:hanging="360"/>
      </w:pPr>
      <w:rPr>
        <w:rFonts w:hint="default" w:asciiTheme="minorHAnsi" w:hAnsiTheme="minorHAnsi" w:cstheme="minorHAnsi"/>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420FED"/>
    <w:multiLevelType w:val="hybridMultilevel"/>
    <w:tmpl w:val="BD6A0B94"/>
    <w:lvl w:ilvl="0" w:tplc="43EE768E">
      <w:start w:val="1"/>
      <w:numFmt w:val="decimal"/>
      <w:lvlText w:val="%1."/>
      <w:lvlJc w:val="left"/>
      <w:pPr>
        <w:ind w:left="720" w:hanging="360"/>
      </w:pPr>
      <w:rPr>
        <w:rFonts w:hint="default" w:asciiTheme="minorHAnsi" w:hAnsiTheme="minorHAnsi" w:cstheme="minorHAnsi"/>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506CDB"/>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A267406"/>
    <w:multiLevelType w:val="hybridMultilevel"/>
    <w:tmpl w:val="F51CFAAC"/>
    <w:lvl w:ilvl="0" w:tplc="0C161A28">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0D547BDE"/>
    <w:multiLevelType w:val="hybridMultilevel"/>
    <w:tmpl w:val="059455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1383DDD"/>
    <w:multiLevelType w:val="hybridMultilevel"/>
    <w:tmpl w:val="B3DEF09A"/>
    <w:lvl w:ilvl="0" w:tplc="0BA29CE0">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 w15:restartNumberingAfterBreak="0">
    <w:nsid w:val="125624D7"/>
    <w:multiLevelType w:val="hybridMultilevel"/>
    <w:tmpl w:val="838CF8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9730860"/>
    <w:multiLevelType w:val="hybridMultilevel"/>
    <w:tmpl w:val="6D96A58C"/>
    <w:lvl w:ilvl="0" w:tplc="91108444">
      <w:start w:val="1"/>
      <w:numFmt w:val="decimal"/>
      <w:lvlText w:val="%1."/>
      <w:lvlJc w:val="left"/>
      <w:pPr>
        <w:ind w:left="360" w:hanging="360"/>
      </w:pPr>
      <w:rPr>
        <w:rFonts w:hint="default" w:asciiTheme="minorHAnsi" w:hAnsiTheme="minorHAnsi" w:cstheme="minorHAnsi"/>
        <w:color w:val="auto"/>
        <w:sz w:val="22"/>
        <w:szCs w:val="2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9F2201D"/>
    <w:multiLevelType w:val="hybridMultilevel"/>
    <w:tmpl w:val="FA8C6068"/>
    <w:lvl w:ilvl="0" w:tplc="D8863686">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15:restartNumberingAfterBreak="0">
    <w:nsid w:val="1A6A7E69"/>
    <w:multiLevelType w:val="hybridMultilevel"/>
    <w:tmpl w:val="F800B360"/>
    <w:lvl w:ilvl="0" w:tplc="821C07E4">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 w15:restartNumberingAfterBreak="0">
    <w:nsid w:val="21242A38"/>
    <w:multiLevelType w:val="hybridMultilevel"/>
    <w:tmpl w:val="A8460D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59B67E9"/>
    <w:multiLevelType w:val="hybridMultilevel"/>
    <w:tmpl w:val="5986FC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96A1314"/>
    <w:multiLevelType w:val="hybridMultilevel"/>
    <w:tmpl w:val="2D4401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C8116A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13620F2"/>
    <w:multiLevelType w:val="hybridMultilevel"/>
    <w:tmpl w:val="B8645804"/>
    <w:lvl w:ilvl="0" w:tplc="1F8ED5C6">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5" w15:restartNumberingAfterBreak="0">
    <w:nsid w:val="351F58EA"/>
    <w:multiLevelType w:val="hybridMultilevel"/>
    <w:tmpl w:val="DCD8CAC2"/>
    <w:lvl w:ilvl="0" w:tplc="2216F8B8">
      <w:start w:val="1"/>
      <w:numFmt w:val="decimal"/>
      <w:lvlText w:val="%1."/>
      <w:lvlJc w:val="left"/>
      <w:pPr>
        <w:ind w:left="720" w:hanging="360"/>
      </w:pPr>
    </w:lvl>
    <w:lvl w:ilvl="1" w:tplc="4DC4C74C">
      <w:start w:val="1"/>
      <w:numFmt w:val="lowerLetter"/>
      <w:lvlText w:val="%2."/>
      <w:lvlJc w:val="left"/>
      <w:pPr>
        <w:ind w:left="1440" w:hanging="360"/>
      </w:pPr>
    </w:lvl>
    <w:lvl w:ilvl="2" w:tplc="6688E362">
      <w:start w:val="1"/>
      <w:numFmt w:val="lowerRoman"/>
      <w:lvlText w:val="%3."/>
      <w:lvlJc w:val="right"/>
      <w:pPr>
        <w:ind w:left="2160" w:hanging="180"/>
      </w:pPr>
    </w:lvl>
    <w:lvl w:ilvl="3" w:tplc="BB30D19E">
      <w:start w:val="1"/>
      <w:numFmt w:val="decimal"/>
      <w:lvlText w:val="%4."/>
      <w:lvlJc w:val="left"/>
      <w:pPr>
        <w:ind w:left="2880" w:hanging="360"/>
      </w:pPr>
    </w:lvl>
    <w:lvl w:ilvl="4" w:tplc="32E01D2C">
      <w:start w:val="1"/>
      <w:numFmt w:val="lowerLetter"/>
      <w:lvlText w:val="%5."/>
      <w:lvlJc w:val="left"/>
      <w:pPr>
        <w:ind w:left="3600" w:hanging="360"/>
      </w:pPr>
    </w:lvl>
    <w:lvl w:ilvl="5" w:tplc="A5789E08">
      <w:start w:val="1"/>
      <w:numFmt w:val="lowerRoman"/>
      <w:lvlText w:val="%6."/>
      <w:lvlJc w:val="right"/>
      <w:pPr>
        <w:ind w:left="4320" w:hanging="180"/>
      </w:pPr>
    </w:lvl>
    <w:lvl w:ilvl="6" w:tplc="0C8E21D2">
      <w:start w:val="1"/>
      <w:numFmt w:val="decimal"/>
      <w:lvlText w:val="%7."/>
      <w:lvlJc w:val="left"/>
      <w:pPr>
        <w:ind w:left="5040" w:hanging="360"/>
      </w:pPr>
    </w:lvl>
    <w:lvl w:ilvl="7" w:tplc="BC94F1F2">
      <w:start w:val="1"/>
      <w:numFmt w:val="lowerLetter"/>
      <w:lvlText w:val="%8."/>
      <w:lvlJc w:val="left"/>
      <w:pPr>
        <w:ind w:left="5760" w:hanging="360"/>
      </w:pPr>
    </w:lvl>
    <w:lvl w:ilvl="8" w:tplc="6BA2C5E4">
      <w:start w:val="1"/>
      <w:numFmt w:val="lowerRoman"/>
      <w:lvlText w:val="%9."/>
      <w:lvlJc w:val="right"/>
      <w:pPr>
        <w:ind w:left="6480" w:hanging="180"/>
      </w:pPr>
    </w:lvl>
  </w:abstractNum>
  <w:abstractNum w:abstractNumId="16" w15:restartNumberingAfterBreak="0">
    <w:nsid w:val="36A93303"/>
    <w:multiLevelType w:val="hybridMultilevel"/>
    <w:tmpl w:val="9402B664"/>
    <w:lvl w:ilvl="0" w:tplc="FFFFFFFF">
      <w:start w:val="1"/>
      <w:numFmt w:val="decimal"/>
      <w:lvlText w:val="%1."/>
      <w:lvlJc w:val="left"/>
      <w:pPr>
        <w:ind w:left="502" w:hanging="360"/>
      </w:pPr>
      <w:rPr>
        <w:rFonts w:hint="default" w:asciiTheme="minorHAnsi" w:hAnsiTheme="minorHAnsi" w:cstheme="minorHAnsi"/>
        <w:sz w:val="24"/>
        <w:szCs w:val="24"/>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A8243AF"/>
    <w:multiLevelType w:val="hybridMultilevel"/>
    <w:tmpl w:val="AC52427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AF911DD"/>
    <w:multiLevelType w:val="hybridMultilevel"/>
    <w:tmpl w:val="FF12F2FE"/>
    <w:lvl w:ilvl="0" w:tplc="5770C2DC">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9" w15:restartNumberingAfterBreak="0">
    <w:nsid w:val="3B7E23A2"/>
    <w:multiLevelType w:val="hybridMultilevel"/>
    <w:tmpl w:val="74C66108"/>
    <w:lvl w:ilvl="0" w:tplc="BB5A1472">
      <w:start w:val="1"/>
      <w:numFmt w:val="decimal"/>
      <w:lvlText w:val="%1."/>
      <w:lvlJc w:val="left"/>
      <w:pPr>
        <w:ind w:left="502" w:hanging="360"/>
      </w:pPr>
      <w:rPr>
        <w:rFonts w:hint="default" w:asciiTheme="minorHAnsi" w:hAnsiTheme="minorHAnsi" w:cstheme="minorHAnsi"/>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1006964"/>
    <w:multiLevelType w:val="hybridMultilevel"/>
    <w:tmpl w:val="9402B664"/>
    <w:lvl w:ilvl="0" w:tplc="FFFFFFFF">
      <w:start w:val="1"/>
      <w:numFmt w:val="decimal"/>
      <w:lvlText w:val="%1."/>
      <w:lvlJc w:val="left"/>
      <w:pPr>
        <w:ind w:left="502" w:hanging="360"/>
      </w:pPr>
      <w:rPr>
        <w:rFonts w:hint="default" w:asciiTheme="minorHAnsi" w:hAnsiTheme="minorHAnsi" w:cstheme="minorHAnsi"/>
        <w:sz w:val="24"/>
        <w:szCs w:val="24"/>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35960BA"/>
    <w:multiLevelType w:val="hybridMultilevel"/>
    <w:tmpl w:val="A8264176"/>
    <w:lvl w:ilvl="0" w:tplc="1EAAA9E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CF23384"/>
    <w:multiLevelType w:val="hybridMultilevel"/>
    <w:tmpl w:val="9402B664"/>
    <w:lvl w:ilvl="0" w:tplc="FFFFFFFF">
      <w:start w:val="1"/>
      <w:numFmt w:val="decimal"/>
      <w:lvlText w:val="%1."/>
      <w:lvlJc w:val="left"/>
      <w:pPr>
        <w:ind w:left="502" w:hanging="360"/>
      </w:pPr>
      <w:rPr>
        <w:rFonts w:hint="default" w:asciiTheme="minorHAnsi" w:hAnsiTheme="minorHAnsi" w:cstheme="minorHAnsi"/>
        <w:sz w:val="24"/>
        <w:szCs w:val="24"/>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D126E5F"/>
    <w:multiLevelType w:val="hybridMultilevel"/>
    <w:tmpl w:val="59F8D5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3662A40"/>
    <w:multiLevelType w:val="hybridMultilevel"/>
    <w:tmpl w:val="85160F1C"/>
    <w:lvl w:ilvl="0" w:tplc="D37CEF1C">
      <w:start w:val="1"/>
      <w:numFmt w:val="decimal"/>
      <w:lvlText w:val="%1."/>
      <w:lvlJc w:val="left"/>
      <w:pPr>
        <w:ind w:left="720" w:hanging="360"/>
      </w:pPr>
      <w:rPr>
        <w:rFonts w:hint="default" w:asciiTheme="minorHAnsi" w:hAnsiTheme="minorHAnsi" w:cstheme="minorHAnsi"/>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3FC42AD"/>
    <w:multiLevelType w:val="hybridMultilevel"/>
    <w:tmpl w:val="7A962BCE"/>
    <w:lvl w:ilvl="0" w:tplc="508C6DD8">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6" w15:restartNumberingAfterBreak="0">
    <w:nsid w:val="54476758"/>
    <w:multiLevelType w:val="hybridMultilevel"/>
    <w:tmpl w:val="04AC7C7A"/>
    <w:lvl w:ilvl="0" w:tplc="BA641FB0">
      <w:start w:val="1"/>
      <w:numFmt w:val="decimal"/>
      <w:lvlText w:val="%1."/>
      <w:lvlJc w:val="left"/>
      <w:pPr>
        <w:ind w:left="720" w:hanging="360"/>
      </w:pPr>
      <w:rPr>
        <w:rFonts w:hint="default" w:asciiTheme="minorHAnsi" w:hAnsiTheme="minorHAnsi" w:cstheme="minorHAnsi"/>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6136BA5"/>
    <w:multiLevelType w:val="hybridMultilevel"/>
    <w:tmpl w:val="E8C2F8A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DB70967"/>
    <w:multiLevelType w:val="hybridMultilevel"/>
    <w:tmpl w:val="0D46A13C"/>
    <w:lvl w:ilvl="0" w:tplc="147089B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F9F27A5"/>
    <w:multiLevelType w:val="hybridMultilevel"/>
    <w:tmpl w:val="46AED336"/>
    <w:lvl w:ilvl="0" w:tplc="7FF6A54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3F218EC"/>
    <w:multiLevelType w:val="hybridMultilevel"/>
    <w:tmpl w:val="D184498C"/>
    <w:lvl w:ilvl="0" w:tplc="0809000F">
      <w:start w:val="2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40439D3"/>
    <w:multiLevelType w:val="hybridMultilevel"/>
    <w:tmpl w:val="5364B476"/>
    <w:lvl w:ilvl="0" w:tplc="75A2684A">
      <w:start w:val="1"/>
      <w:numFmt w:val="decimal"/>
      <w:lvlText w:val="%1."/>
      <w:lvlJc w:val="left"/>
      <w:pPr>
        <w:ind w:left="720" w:hanging="360"/>
      </w:pPr>
      <w:rPr>
        <w:rFonts w:hint="default" w:cstheme="minorHAns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67C788B"/>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6ADC5784"/>
    <w:multiLevelType w:val="hybridMultilevel"/>
    <w:tmpl w:val="C696EC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C971EBD"/>
    <w:multiLevelType w:val="hybridMultilevel"/>
    <w:tmpl w:val="C13EF0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E3B1912"/>
    <w:multiLevelType w:val="hybridMultilevel"/>
    <w:tmpl w:val="71E857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2D23D7E"/>
    <w:multiLevelType w:val="hybridMultilevel"/>
    <w:tmpl w:val="9402B664"/>
    <w:lvl w:ilvl="0" w:tplc="FFFFFFFF">
      <w:start w:val="1"/>
      <w:numFmt w:val="decimal"/>
      <w:lvlText w:val="%1."/>
      <w:lvlJc w:val="left"/>
      <w:pPr>
        <w:ind w:left="502" w:hanging="360"/>
      </w:pPr>
      <w:rPr>
        <w:rFonts w:hint="default" w:asciiTheme="minorHAnsi" w:hAnsiTheme="minorHAnsi" w:cstheme="minorHAnsi"/>
        <w:sz w:val="24"/>
        <w:szCs w:val="24"/>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5F47184"/>
    <w:multiLevelType w:val="hybridMultilevel"/>
    <w:tmpl w:val="5A3C36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74606F5"/>
    <w:multiLevelType w:val="hybridMultilevel"/>
    <w:tmpl w:val="E4925B9A"/>
    <w:lvl w:ilvl="0" w:tplc="F69C7A22">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9" w15:restartNumberingAfterBreak="0">
    <w:nsid w:val="78872DB4"/>
    <w:multiLevelType w:val="hybridMultilevel"/>
    <w:tmpl w:val="F934D76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96F5947"/>
    <w:multiLevelType w:val="hybridMultilevel"/>
    <w:tmpl w:val="AC52427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A8B040D"/>
    <w:multiLevelType w:val="hybridMultilevel"/>
    <w:tmpl w:val="ECB8DD7C"/>
    <w:lvl w:ilvl="0" w:tplc="934EACF0">
      <w:start w:val="1"/>
      <w:numFmt w:val="decimal"/>
      <w:lvlText w:val="%1."/>
      <w:lvlJc w:val="left"/>
      <w:pPr>
        <w:ind w:left="410" w:hanging="360"/>
      </w:pPr>
      <w:rPr>
        <w:rFonts w:hint="default"/>
        <w:color w:val="auto"/>
      </w:rPr>
    </w:lvl>
    <w:lvl w:ilvl="1" w:tplc="08090019" w:tentative="1">
      <w:start w:val="1"/>
      <w:numFmt w:val="lowerLetter"/>
      <w:lvlText w:val="%2."/>
      <w:lvlJc w:val="left"/>
      <w:pPr>
        <w:ind w:left="1130" w:hanging="360"/>
      </w:pPr>
    </w:lvl>
    <w:lvl w:ilvl="2" w:tplc="0809001B" w:tentative="1">
      <w:start w:val="1"/>
      <w:numFmt w:val="lowerRoman"/>
      <w:lvlText w:val="%3."/>
      <w:lvlJc w:val="right"/>
      <w:pPr>
        <w:ind w:left="1850" w:hanging="180"/>
      </w:pPr>
    </w:lvl>
    <w:lvl w:ilvl="3" w:tplc="0809000F" w:tentative="1">
      <w:start w:val="1"/>
      <w:numFmt w:val="decimal"/>
      <w:lvlText w:val="%4."/>
      <w:lvlJc w:val="left"/>
      <w:pPr>
        <w:ind w:left="2570" w:hanging="360"/>
      </w:pPr>
    </w:lvl>
    <w:lvl w:ilvl="4" w:tplc="08090019" w:tentative="1">
      <w:start w:val="1"/>
      <w:numFmt w:val="lowerLetter"/>
      <w:lvlText w:val="%5."/>
      <w:lvlJc w:val="left"/>
      <w:pPr>
        <w:ind w:left="3290" w:hanging="360"/>
      </w:pPr>
    </w:lvl>
    <w:lvl w:ilvl="5" w:tplc="0809001B" w:tentative="1">
      <w:start w:val="1"/>
      <w:numFmt w:val="lowerRoman"/>
      <w:lvlText w:val="%6."/>
      <w:lvlJc w:val="right"/>
      <w:pPr>
        <w:ind w:left="4010" w:hanging="180"/>
      </w:pPr>
    </w:lvl>
    <w:lvl w:ilvl="6" w:tplc="0809000F" w:tentative="1">
      <w:start w:val="1"/>
      <w:numFmt w:val="decimal"/>
      <w:lvlText w:val="%7."/>
      <w:lvlJc w:val="left"/>
      <w:pPr>
        <w:ind w:left="4730" w:hanging="360"/>
      </w:pPr>
    </w:lvl>
    <w:lvl w:ilvl="7" w:tplc="08090019" w:tentative="1">
      <w:start w:val="1"/>
      <w:numFmt w:val="lowerLetter"/>
      <w:lvlText w:val="%8."/>
      <w:lvlJc w:val="left"/>
      <w:pPr>
        <w:ind w:left="5450" w:hanging="360"/>
      </w:pPr>
    </w:lvl>
    <w:lvl w:ilvl="8" w:tplc="0809001B" w:tentative="1">
      <w:start w:val="1"/>
      <w:numFmt w:val="lowerRoman"/>
      <w:lvlText w:val="%9."/>
      <w:lvlJc w:val="right"/>
      <w:pPr>
        <w:ind w:left="6170" w:hanging="180"/>
      </w:pPr>
    </w:lvl>
  </w:abstractNum>
  <w:abstractNum w:abstractNumId="42" w15:restartNumberingAfterBreak="0">
    <w:nsid w:val="7ADF7F5B"/>
    <w:multiLevelType w:val="hybridMultilevel"/>
    <w:tmpl w:val="13A60C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C120FF6"/>
    <w:multiLevelType w:val="hybridMultilevel"/>
    <w:tmpl w:val="F4587100"/>
    <w:lvl w:ilvl="0" w:tplc="C7465610">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4" w15:restartNumberingAfterBreak="0">
    <w:nsid w:val="7C41179F"/>
    <w:multiLevelType w:val="hybridMultilevel"/>
    <w:tmpl w:val="96BE6038"/>
    <w:lvl w:ilvl="0" w:tplc="7650411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E846970"/>
    <w:multiLevelType w:val="hybridMultilevel"/>
    <w:tmpl w:val="9402B664"/>
    <w:lvl w:ilvl="0" w:tplc="FFFFFFFF">
      <w:start w:val="1"/>
      <w:numFmt w:val="decimal"/>
      <w:lvlText w:val="%1."/>
      <w:lvlJc w:val="left"/>
      <w:pPr>
        <w:ind w:left="502" w:hanging="360"/>
      </w:pPr>
      <w:rPr>
        <w:rFonts w:hint="default" w:asciiTheme="minorHAnsi" w:hAnsiTheme="minorHAnsi" w:cstheme="minorHAnsi"/>
        <w:sz w:val="24"/>
        <w:szCs w:val="24"/>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469476279">
    <w:abstractNumId w:val="15"/>
  </w:num>
  <w:num w:numId="2" w16cid:durableId="929005368">
    <w:abstractNumId w:val="7"/>
  </w:num>
  <w:num w:numId="3" w16cid:durableId="1334339509">
    <w:abstractNumId w:val="10"/>
  </w:num>
  <w:num w:numId="4" w16cid:durableId="1153909158">
    <w:abstractNumId w:val="11"/>
  </w:num>
  <w:num w:numId="5" w16cid:durableId="883829922">
    <w:abstractNumId w:val="42"/>
  </w:num>
  <w:num w:numId="6" w16cid:durableId="945230756">
    <w:abstractNumId w:val="37"/>
  </w:num>
  <w:num w:numId="7" w16cid:durableId="1962614811">
    <w:abstractNumId w:val="26"/>
  </w:num>
  <w:num w:numId="8" w16cid:durableId="1546942271">
    <w:abstractNumId w:val="0"/>
  </w:num>
  <w:num w:numId="9" w16cid:durableId="1868181526">
    <w:abstractNumId w:val="24"/>
  </w:num>
  <w:num w:numId="10" w16cid:durableId="1953978228">
    <w:abstractNumId w:val="35"/>
  </w:num>
  <w:num w:numId="11" w16cid:durableId="470287228">
    <w:abstractNumId w:val="33"/>
  </w:num>
  <w:num w:numId="12" w16cid:durableId="819005927">
    <w:abstractNumId w:val="1"/>
  </w:num>
  <w:num w:numId="13" w16cid:durableId="1432892356">
    <w:abstractNumId w:val="27"/>
  </w:num>
  <w:num w:numId="14" w16cid:durableId="1040517256">
    <w:abstractNumId w:val="39"/>
  </w:num>
  <w:num w:numId="15" w16cid:durableId="1763181811">
    <w:abstractNumId w:val="4"/>
  </w:num>
  <w:num w:numId="16" w16cid:durableId="2053768165">
    <w:abstractNumId w:val="12"/>
  </w:num>
  <w:num w:numId="17" w16cid:durableId="791289850">
    <w:abstractNumId w:val="34"/>
  </w:num>
  <w:num w:numId="18" w16cid:durableId="775903559">
    <w:abstractNumId w:val="41"/>
  </w:num>
  <w:num w:numId="19" w16cid:durableId="1768232145">
    <w:abstractNumId w:val="31"/>
  </w:num>
  <w:num w:numId="20" w16cid:durableId="2015104072">
    <w:abstractNumId w:val="30"/>
  </w:num>
  <w:num w:numId="21" w16cid:durableId="1279603204">
    <w:abstractNumId w:val="17"/>
  </w:num>
  <w:num w:numId="22" w16cid:durableId="1710759325">
    <w:abstractNumId w:val="6"/>
  </w:num>
  <w:num w:numId="23" w16cid:durableId="921177983">
    <w:abstractNumId w:val="40"/>
  </w:num>
  <w:num w:numId="24" w16cid:durableId="1993754282">
    <w:abstractNumId w:val="20"/>
  </w:num>
  <w:num w:numId="25" w16cid:durableId="836963553">
    <w:abstractNumId w:val="45"/>
  </w:num>
  <w:num w:numId="26" w16cid:durableId="1328940666">
    <w:abstractNumId w:val="36"/>
  </w:num>
  <w:num w:numId="27" w16cid:durableId="338852972">
    <w:abstractNumId w:val="28"/>
  </w:num>
  <w:num w:numId="28" w16cid:durableId="956762895">
    <w:abstractNumId w:val="16"/>
  </w:num>
  <w:num w:numId="29" w16cid:durableId="2136017293">
    <w:abstractNumId w:val="22"/>
  </w:num>
  <w:num w:numId="30" w16cid:durableId="228929286">
    <w:abstractNumId w:val="19"/>
  </w:num>
  <w:num w:numId="31" w16cid:durableId="1356270740">
    <w:abstractNumId w:val="23"/>
  </w:num>
  <w:num w:numId="32" w16cid:durableId="1949389709">
    <w:abstractNumId w:val="2"/>
  </w:num>
  <w:num w:numId="33" w16cid:durableId="645478330">
    <w:abstractNumId w:val="21"/>
  </w:num>
  <w:num w:numId="34" w16cid:durableId="2031027691">
    <w:abstractNumId w:val="13"/>
  </w:num>
  <w:num w:numId="35" w16cid:durableId="833843254">
    <w:abstractNumId w:val="3"/>
  </w:num>
  <w:num w:numId="36" w16cid:durableId="508523348">
    <w:abstractNumId w:val="9"/>
  </w:num>
  <w:num w:numId="37" w16cid:durableId="2066831668">
    <w:abstractNumId w:val="38"/>
  </w:num>
  <w:num w:numId="38" w16cid:durableId="1223903123">
    <w:abstractNumId w:val="5"/>
  </w:num>
  <w:num w:numId="39" w16cid:durableId="1630161595">
    <w:abstractNumId w:val="18"/>
  </w:num>
  <w:num w:numId="40" w16cid:durableId="62802914">
    <w:abstractNumId w:val="8"/>
  </w:num>
  <w:num w:numId="41" w16cid:durableId="626861263">
    <w:abstractNumId w:val="43"/>
  </w:num>
  <w:num w:numId="42" w16cid:durableId="1346593043">
    <w:abstractNumId w:val="32"/>
  </w:num>
  <w:num w:numId="43" w16cid:durableId="42948701">
    <w:abstractNumId w:val="25"/>
  </w:num>
  <w:num w:numId="44" w16cid:durableId="476798298">
    <w:abstractNumId w:val="14"/>
  </w:num>
  <w:num w:numId="45" w16cid:durableId="90243149">
    <w:abstractNumId w:val="29"/>
  </w:num>
  <w:num w:numId="46" w16cid:durableId="1492022981">
    <w:abstractNumId w:val="44"/>
  </w:num>
  <w:numIdMacAtCleanup w:val="18"/>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7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2F5"/>
    <w:rsid w:val="00000A2C"/>
    <w:rsid w:val="000010A9"/>
    <w:rsid w:val="00001F9B"/>
    <w:rsid w:val="0000230C"/>
    <w:rsid w:val="000023A5"/>
    <w:rsid w:val="00002519"/>
    <w:rsid w:val="00002AAE"/>
    <w:rsid w:val="0000368E"/>
    <w:rsid w:val="000037C7"/>
    <w:rsid w:val="000047DC"/>
    <w:rsid w:val="00005669"/>
    <w:rsid w:val="00005C93"/>
    <w:rsid w:val="00005E08"/>
    <w:rsid w:val="000069F1"/>
    <w:rsid w:val="00006D46"/>
    <w:rsid w:val="000074CE"/>
    <w:rsid w:val="000076C2"/>
    <w:rsid w:val="00007A6C"/>
    <w:rsid w:val="00010327"/>
    <w:rsid w:val="0001049F"/>
    <w:rsid w:val="000107D6"/>
    <w:rsid w:val="0001087E"/>
    <w:rsid w:val="00010981"/>
    <w:rsid w:val="00010A94"/>
    <w:rsid w:val="00010BCE"/>
    <w:rsid w:val="00010DC6"/>
    <w:rsid w:val="00011190"/>
    <w:rsid w:val="0001138D"/>
    <w:rsid w:val="00011AB9"/>
    <w:rsid w:val="00011C7B"/>
    <w:rsid w:val="00011DF7"/>
    <w:rsid w:val="00012106"/>
    <w:rsid w:val="000121DF"/>
    <w:rsid w:val="000122E7"/>
    <w:rsid w:val="000123B9"/>
    <w:rsid w:val="00012842"/>
    <w:rsid w:val="00013271"/>
    <w:rsid w:val="0001383A"/>
    <w:rsid w:val="00014FF0"/>
    <w:rsid w:val="000151C8"/>
    <w:rsid w:val="000152FD"/>
    <w:rsid w:val="000154E7"/>
    <w:rsid w:val="00016211"/>
    <w:rsid w:val="00016680"/>
    <w:rsid w:val="000177D8"/>
    <w:rsid w:val="00017C3C"/>
    <w:rsid w:val="000205E5"/>
    <w:rsid w:val="00020638"/>
    <w:rsid w:val="00020F2C"/>
    <w:rsid w:val="00020FBC"/>
    <w:rsid w:val="00021795"/>
    <w:rsid w:val="00021C43"/>
    <w:rsid w:val="00021DAE"/>
    <w:rsid w:val="0002345D"/>
    <w:rsid w:val="00023976"/>
    <w:rsid w:val="000244E6"/>
    <w:rsid w:val="00024F1E"/>
    <w:rsid w:val="00024F68"/>
    <w:rsid w:val="00025327"/>
    <w:rsid w:val="000255CF"/>
    <w:rsid w:val="00025899"/>
    <w:rsid w:val="00025927"/>
    <w:rsid w:val="00026079"/>
    <w:rsid w:val="000260A4"/>
    <w:rsid w:val="0002618F"/>
    <w:rsid w:val="00026341"/>
    <w:rsid w:val="00026342"/>
    <w:rsid w:val="00026C1A"/>
    <w:rsid w:val="00026DD1"/>
    <w:rsid w:val="000272AD"/>
    <w:rsid w:val="00027AF3"/>
    <w:rsid w:val="000309E3"/>
    <w:rsid w:val="00030AC7"/>
    <w:rsid w:val="00030B94"/>
    <w:rsid w:val="000310DE"/>
    <w:rsid w:val="0003114C"/>
    <w:rsid w:val="0003116F"/>
    <w:rsid w:val="0003283D"/>
    <w:rsid w:val="00032F5F"/>
    <w:rsid w:val="000334CF"/>
    <w:rsid w:val="00034668"/>
    <w:rsid w:val="000348D5"/>
    <w:rsid w:val="00034D51"/>
    <w:rsid w:val="00035154"/>
    <w:rsid w:val="0003539C"/>
    <w:rsid w:val="000353DB"/>
    <w:rsid w:val="000357BC"/>
    <w:rsid w:val="00035F56"/>
    <w:rsid w:val="00036712"/>
    <w:rsid w:val="00036A83"/>
    <w:rsid w:val="00036D18"/>
    <w:rsid w:val="00037A4B"/>
    <w:rsid w:val="00037FEA"/>
    <w:rsid w:val="000400A6"/>
    <w:rsid w:val="00040581"/>
    <w:rsid w:val="0004298B"/>
    <w:rsid w:val="000437B6"/>
    <w:rsid w:val="00043CC1"/>
    <w:rsid w:val="000443D8"/>
    <w:rsid w:val="00044520"/>
    <w:rsid w:val="000447C9"/>
    <w:rsid w:val="00044933"/>
    <w:rsid w:val="000449E0"/>
    <w:rsid w:val="00044A0A"/>
    <w:rsid w:val="00044DBD"/>
    <w:rsid w:val="000452A6"/>
    <w:rsid w:val="000455C1"/>
    <w:rsid w:val="0004580D"/>
    <w:rsid w:val="00045863"/>
    <w:rsid w:val="00045897"/>
    <w:rsid w:val="0004602F"/>
    <w:rsid w:val="000466E5"/>
    <w:rsid w:val="000467F8"/>
    <w:rsid w:val="000470E3"/>
    <w:rsid w:val="00047392"/>
    <w:rsid w:val="00047444"/>
    <w:rsid w:val="000500C9"/>
    <w:rsid w:val="000506FC"/>
    <w:rsid w:val="00050A5E"/>
    <w:rsid w:val="00050B17"/>
    <w:rsid w:val="00050FCB"/>
    <w:rsid w:val="0005130C"/>
    <w:rsid w:val="000514B1"/>
    <w:rsid w:val="00051929"/>
    <w:rsid w:val="000523EA"/>
    <w:rsid w:val="00052A4E"/>
    <w:rsid w:val="00052CE5"/>
    <w:rsid w:val="0005305F"/>
    <w:rsid w:val="000533B6"/>
    <w:rsid w:val="00054498"/>
    <w:rsid w:val="000547CE"/>
    <w:rsid w:val="0005550A"/>
    <w:rsid w:val="00055ABF"/>
    <w:rsid w:val="00056152"/>
    <w:rsid w:val="0006009C"/>
    <w:rsid w:val="00060386"/>
    <w:rsid w:val="000608C1"/>
    <w:rsid w:val="00060E80"/>
    <w:rsid w:val="000611B8"/>
    <w:rsid w:val="00061996"/>
    <w:rsid w:val="000623CD"/>
    <w:rsid w:val="00062465"/>
    <w:rsid w:val="00062637"/>
    <w:rsid w:val="00063CAE"/>
    <w:rsid w:val="000646A9"/>
    <w:rsid w:val="000649A8"/>
    <w:rsid w:val="00064EF1"/>
    <w:rsid w:val="00066C8D"/>
    <w:rsid w:val="00066DEB"/>
    <w:rsid w:val="000671DB"/>
    <w:rsid w:val="0006738A"/>
    <w:rsid w:val="000675EA"/>
    <w:rsid w:val="00070602"/>
    <w:rsid w:val="00070F1E"/>
    <w:rsid w:val="0007122C"/>
    <w:rsid w:val="00071373"/>
    <w:rsid w:val="00071CB3"/>
    <w:rsid w:val="00072B15"/>
    <w:rsid w:val="00072E1F"/>
    <w:rsid w:val="0007318C"/>
    <w:rsid w:val="000735D5"/>
    <w:rsid w:val="0007425F"/>
    <w:rsid w:val="000743CD"/>
    <w:rsid w:val="00074512"/>
    <w:rsid w:val="00074F4D"/>
    <w:rsid w:val="00075D62"/>
    <w:rsid w:val="00076629"/>
    <w:rsid w:val="00076E13"/>
    <w:rsid w:val="00077B06"/>
    <w:rsid w:val="000803C7"/>
    <w:rsid w:val="00080BAC"/>
    <w:rsid w:val="000818B7"/>
    <w:rsid w:val="000818CB"/>
    <w:rsid w:val="000818EF"/>
    <w:rsid w:val="00081B4A"/>
    <w:rsid w:val="000824B9"/>
    <w:rsid w:val="0008253B"/>
    <w:rsid w:val="00082645"/>
    <w:rsid w:val="00082DA7"/>
    <w:rsid w:val="00082DBC"/>
    <w:rsid w:val="000833FA"/>
    <w:rsid w:val="00083E0B"/>
    <w:rsid w:val="00084946"/>
    <w:rsid w:val="00084B68"/>
    <w:rsid w:val="00085479"/>
    <w:rsid w:val="00085F3F"/>
    <w:rsid w:val="00086F6D"/>
    <w:rsid w:val="0008709F"/>
    <w:rsid w:val="00087972"/>
    <w:rsid w:val="00087DCA"/>
    <w:rsid w:val="000900E2"/>
    <w:rsid w:val="000904BB"/>
    <w:rsid w:val="00090F5E"/>
    <w:rsid w:val="00091230"/>
    <w:rsid w:val="0009171D"/>
    <w:rsid w:val="00091BDA"/>
    <w:rsid w:val="00091D5A"/>
    <w:rsid w:val="00091E08"/>
    <w:rsid w:val="000930AE"/>
    <w:rsid w:val="000943D2"/>
    <w:rsid w:val="00094868"/>
    <w:rsid w:val="0009491A"/>
    <w:rsid w:val="00094E1D"/>
    <w:rsid w:val="00094FFB"/>
    <w:rsid w:val="000963C2"/>
    <w:rsid w:val="00096487"/>
    <w:rsid w:val="00096AA9"/>
    <w:rsid w:val="00097AE1"/>
    <w:rsid w:val="00097C39"/>
    <w:rsid w:val="00097F1C"/>
    <w:rsid w:val="000A08B8"/>
    <w:rsid w:val="000A1A22"/>
    <w:rsid w:val="000A1AE8"/>
    <w:rsid w:val="000A2C7F"/>
    <w:rsid w:val="000A3A7E"/>
    <w:rsid w:val="000A3C23"/>
    <w:rsid w:val="000A3EE9"/>
    <w:rsid w:val="000A4968"/>
    <w:rsid w:val="000A54EC"/>
    <w:rsid w:val="000A58D8"/>
    <w:rsid w:val="000A6324"/>
    <w:rsid w:val="000A6804"/>
    <w:rsid w:val="000A69B0"/>
    <w:rsid w:val="000A73F1"/>
    <w:rsid w:val="000A7783"/>
    <w:rsid w:val="000A7BD8"/>
    <w:rsid w:val="000A7EAA"/>
    <w:rsid w:val="000B065D"/>
    <w:rsid w:val="000B06DD"/>
    <w:rsid w:val="000B0731"/>
    <w:rsid w:val="000B0AEA"/>
    <w:rsid w:val="000B0B78"/>
    <w:rsid w:val="000B0DAF"/>
    <w:rsid w:val="000B15A2"/>
    <w:rsid w:val="000B18D7"/>
    <w:rsid w:val="000B1A0D"/>
    <w:rsid w:val="000B2A13"/>
    <w:rsid w:val="000B34D3"/>
    <w:rsid w:val="000B3543"/>
    <w:rsid w:val="000B41EE"/>
    <w:rsid w:val="000B421C"/>
    <w:rsid w:val="000B490A"/>
    <w:rsid w:val="000B4BE6"/>
    <w:rsid w:val="000B4C3E"/>
    <w:rsid w:val="000B4D37"/>
    <w:rsid w:val="000B5390"/>
    <w:rsid w:val="000B6674"/>
    <w:rsid w:val="000B67F1"/>
    <w:rsid w:val="000B6F0B"/>
    <w:rsid w:val="000B7641"/>
    <w:rsid w:val="000B7BFD"/>
    <w:rsid w:val="000C004C"/>
    <w:rsid w:val="000C13D6"/>
    <w:rsid w:val="000C1637"/>
    <w:rsid w:val="000C19DD"/>
    <w:rsid w:val="000C1AAD"/>
    <w:rsid w:val="000C2423"/>
    <w:rsid w:val="000C2983"/>
    <w:rsid w:val="000C2D2F"/>
    <w:rsid w:val="000C35D8"/>
    <w:rsid w:val="000C3838"/>
    <w:rsid w:val="000C4562"/>
    <w:rsid w:val="000C4C8C"/>
    <w:rsid w:val="000C55DC"/>
    <w:rsid w:val="000C562C"/>
    <w:rsid w:val="000C5F90"/>
    <w:rsid w:val="000C649F"/>
    <w:rsid w:val="000C6858"/>
    <w:rsid w:val="000C77E5"/>
    <w:rsid w:val="000C7A1A"/>
    <w:rsid w:val="000D0253"/>
    <w:rsid w:val="000D1097"/>
    <w:rsid w:val="000D10BA"/>
    <w:rsid w:val="000D140E"/>
    <w:rsid w:val="000D146B"/>
    <w:rsid w:val="000D15B3"/>
    <w:rsid w:val="000D1D23"/>
    <w:rsid w:val="000D1DA8"/>
    <w:rsid w:val="000D1EA0"/>
    <w:rsid w:val="000D205E"/>
    <w:rsid w:val="000D224D"/>
    <w:rsid w:val="000D243E"/>
    <w:rsid w:val="000D284B"/>
    <w:rsid w:val="000D2DD4"/>
    <w:rsid w:val="000D32E3"/>
    <w:rsid w:val="000D3443"/>
    <w:rsid w:val="000D3462"/>
    <w:rsid w:val="000D3853"/>
    <w:rsid w:val="000D3D99"/>
    <w:rsid w:val="000D3F71"/>
    <w:rsid w:val="000D41A1"/>
    <w:rsid w:val="000D43D7"/>
    <w:rsid w:val="000D4AB0"/>
    <w:rsid w:val="000D4C34"/>
    <w:rsid w:val="000D52BC"/>
    <w:rsid w:val="000D52FA"/>
    <w:rsid w:val="000D5A01"/>
    <w:rsid w:val="000D5FF3"/>
    <w:rsid w:val="000D6976"/>
    <w:rsid w:val="000D70D8"/>
    <w:rsid w:val="000D72AA"/>
    <w:rsid w:val="000D72E9"/>
    <w:rsid w:val="000D79EC"/>
    <w:rsid w:val="000D7AE8"/>
    <w:rsid w:val="000D7E32"/>
    <w:rsid w:val="000E04AF"/>
    <w:rsid w:val="000E0A0D"/>
    <w:rsid w:val="000E101A"/>
    <w:rsid w:val="000E10B5"/>
    <w:rsid w:val="000E15D0"/>
    <w:rsid w:val="000E1A3F"/>
    <w:rsid w:val="000E2099"/>
    <w:rsid w:val="000E250B"/>
    <w:rsid w:val="000E2669"/>
    <w:rsid w:val="000E266B"/>
    <w:rsid w:val="000E2D7C"/>
    <w:rsid w:val="000E3182"/>
    <w:rsid w:val="000E34E7"/>
    <w:rsid w:val="000E381F"/>
    <w:rsid w:val="000E3B4A"/>
    <w:rsid w:val="000E471A"/>
    <w:rsid w:val="000E5748"/>
    <w:rsid w:val="000E5A2A"/>
    <w:rsid w:val="000E68BC"/>
    <w:rsid w:val="000E6A98"/>
    <w:rsid w:val="000E6CE5"/>
    <w:rsid w:val="000E7276"/>
    <w:rsid w:val="000E73C8"/>
    <w:rsid w:val="000F0548"/>
    <w:rsid w:val="000F05A6"/>
    <w:rsid w:val="000F07E4"/>
    <w:rsid w:val="000F241F"/>
    <w:rsid w:val="000F2B4B"/>
    <w:rsid w:val="000F31CB"/>
    <w:rsid w:val="000F373C"/>
    <w:rsid w:val="000F397A"/>
    <w:rsid w:val="000F3B3F"/>
    <w:rsid w:val="000F3D32"/>
    <w:rsid w:val="000F3FA7"/>
    <w:rsid w:val="000F4228"/>
    <w:rsid w:val="000F42CE"/>
    <w:rsid w:val="000F43D7"/>
    <w:rsid w:val="000F47C7"/>
    <w:rsid w:val="000F4D84"/>
    <w:rsid w:val="000F4E41"/>
    <w:rsid w:val="000F50FD"/>
    <w:rsid w:val="000F5251"/>
    <w:rsid w:val="000F5603"/>
    <w:rsid w:val="000F579A"/>
    <w:rsid w:val="000F5ADF"/>
    <w:rsid w:val="000F6821"/>
    <w:rsid w:val="000F6F02"/>
    <w:rsid w:val="000F6F77"/>
    <w:rsid w:val="000F731F"/>
    <w:rsid w:val="000F7AA4"/>
    <w:rsid w:val="0010054E"/>
    <w:rsid w:val="00100A1D"/>
    <w:rsid w:val="00100EB8"/>
    <w:rsid w:val="001019DB"/>
    <w:rsid w:val="00102165"/>
    <w:rsid w:val="0010220C"/>
    <w:rsid w:val="00102500"/>
    <w:rsid w:val="001026F6"/>
    <w:rsid w:val="0010282C"/>
    <w:rsid w:val="001037F7"/>
    <w:rsid w:val="001047BC"/>
    <w:rsid w:val="00106AD8"/>
    <w:rsid w:val="00106BC6"/>
    <w:rsid w:val="00107FFA"/>
    <w:rsid w:val="001118DB"/>
    <w:rsid w:val="00111AB3"/>
    <w:rsid w:val="001125CE"/>
    <w:rsid w:val="00112855"/>
    <w:rsid w:val="001132E5"/>
    <w:rsid w:val="00113661"/>
    <w:rsid w:val="001141EC"/>
    <w:rsid w:val="00114271"/>
    <w:rsid w:val="001146FB"/>
    <w:rsid w:val="001154EC"/>
    <w:rsid w:val="00115F92"/>
    <w:rsid w:val="0011679D"/>
    <w:rsid w:val="001172F2"/>
    <w:rsid w:val="00117647"/>
    <w:rsid w:val="00117769"/>
    <w:rsid w:val="00117CB9"/>
    <w:rsid w:val="001209F1"/>
    <w:rsid w:val="001213E0"/>
    <w:rsid w:val="001216BC"/>
    <w:rsid w:val="00121BB8"/>
    <w:rsid w:val="00122E10"/>
    <w:rsid w:val="0012301B"/>
    <w:rsid w:val="001235C4"/>
    <w:rsid w:val="0012399A"/>
    <w:rsid w:val="00123A21"/>
    <w:rsid w:val="001241C5"/>
    <w:rsid w:val="001249A1"/>
    <w:rsid w:val="00125584"/>
    <w:rsid w:val="00126315"/>
    <w:rsid w:val="00127441"/>
    <w:rsid w:val="001275F1"/>
    <w:rsid w:val="00127744"/>
    <w:rsid w:val="00127B86"/>
    <w:rsid w:val="0013004E"/>
    <w:rsid w:val="001301A6"/>
    <w:rsid w:val="0013042E"/>
    <w:rsid w:val="0013068E"/>
    <w:rsid w:val="00130C9D"/>
    <w:rsid w:val="001316E3"/>
    <w:rsid w:val="001318B7"/>
    <w:rsid w:val="001319DA"/>
    <w:rsid w:val="00131ADB"/>
    <w:rsid w:val="00132869"/>
    <w:rsid w:val="0013301C"/>
    <w:rsid w:val="0013374C"/>
    <w:rsid w:val="001337EE"/>
    <w:rsid w:val="00133831"/>
    <w:rsid w:val="00133836"/>
    <w:rsid w:val="00134FC6"/>
    <w:rsid w:val="00134FD8"/>
    <w:rsid w:val="00135843"/>
    <w:rsid w:val="00136BAE"/>
    <w:rsid w:val="00136E52"/>
    <w:rsid w:val="00137148"/>
    <w:rsid w:val="0013764A"/>
    <w:rsid w:val="00137E27"/>
    <w:rsid w:val="001405CD"/>
    <w:rsid w:val="00140AB7"/>
    <w:rsid w:val="00141631"/>
    <w:rsid w:val="00141B20"/>
    <w:rsid w:val="00141E06"/>
    <w:rsid w:val="00141FE8"/>
    <w:rsid w:val="0014247A"/>
    <w:rsid w:val="0014263A"/>
    <w:rsid w:val="00143574"/>
    <w:rsid w:val="00143A3F"/>
    <w:rsid w:val="00143CA3"/>
    <w:rsid w:val="00144426"/>
    <w:rsid w:val="001444B9"/>
    <w:rsid w:val="00144713"/>
    <w:rsid w:val="0014473C"/>
    <w:rsid w:val="001449C0"/>
    <w:rsid w:val="00144FD6"/>
    <w:rsid w:val="00144FF4"/>
    <w:rsid w:val="0014596E"/>
    <w:rsid w:val="0014644E"/>
    <w:rsid w:val="0014663A"/>
    <w:rsid w:val="0014685A"/>
    <w:rsid w:val="001470AE"/>
    <w:rsid w:val="0014743C"/>
    <w:rsid w:val="00147AA9"/>
    <w:rsid w:val="0015003F"/>
    <w:rsid w:val="00150A02"/>
    <w:rsid w:val="0015159D"/>
    <w:rsid w:val="00152388"/>
    <w:rsid w:val="001523CE"/>
    <w:rsid w:val="001528AF"/>
    <w:rsid w:val="00152A16"/>
    <w:rsid w:val="00152AB4"/>
    <w:rsid w:val="00152D18"/>
    <w:rsid w:val="00153125"/>
    <w:rsid w:val="00153B61"/>
    <w:rsid w:val="00153EF8"/>
    <w:rsid w:val="00155329"/>
    <w:rsid w:val="001559EC"/>
    <w:rsid w:val="001559FA"/>
    <w:rsid w:val="00155B62"/>
    <w:rsid w:val="00155F58"/>
    <w:rsid w:val="00155F9A"/>
    <w:rsid w:val="00156181"/>
    <w:rsid w:val="00156CE9"/>
    <w:rsid w:val="00157229"/>
    <w:rsid w:val="00160CB1"/>
    <w:rsid w:val="00160CD8"/>
    <w:rsid w:val="00160CF9"/>
    <w:rsid w:val="00161F03"/>
    <w:rsid w:val="00162084"/>
    <w:rsid w:val="0016226F"/>
    <w:rsid w:val="0016292B"/>
    <w:rsid w:val="00162A43"/>
    <w:rsid w:val="00162C59"/>
    <w:rsid w:val="00163394"/>
    <w:rsid w:val="001633CE"/>
    <w:rsid w:val="0016369F"/>
    <w:rsid w:val="001636EE"/>
    <w:rsid w:val="0016374C"/>
    <w:rsid w:val="00163E0C"/>
    <w:rsid w:val="001640D8"/>
    <w:rsid w:val="001644D4"/>
    <w:rsid w:val="00164F06"/>
    <w:rsid w:val="0016546E"/>
    <w:rsid w:val="00166700"/>
    <w:rsid w:val="0016673F"/>
    <w:rsid w:val="0016690D"/>
    <w:rsid w:val="00166C9C"/>
    <w:rsid w:val="00166FD9"/>
    <w:rsid w:val="00167347"/>
    <w:rsid w:val="0017022D"/>
    <w:rsid w:val="0017067F"/>
    <w:rsid w:val="00170B9B"/>
    <w:rsid w:val="00170DB7"/>
    <w:rsid w:val="00170FD1"/>
    <w:rsid w:val="00170FD9"/>
    <w:rsid w:val="00171747"/>
    <w:rsid w:val="001723A0"/>
    <w:rsid w:val="00172E56"/>
    <w:rsid w:val="00173878"/>
    <w:rsid w:val="00173A5A"/>
    <w:rsid w:val="00173C1C"/>
    <w:rsid w:val="00173E3D"/>
    <w:rsid w:val="00174282"/>
    <w:rsid w:val="001747D7"/>
    <w:rsid w:val="00174EA2"/>
    <w:rsid w:val="00174F83"/>
    <w:rsid w:val="001757CB"/>
    <w:rsid w:val="00175A10"/>
    <w:rsid w:val="0017669F"/>
    <w:rsid w:val="001771EB"/>
    <w:rsid w:val="0017727C"/>
    <w:rsid w:val="001772A0"/>
    <w:rsid w:val="00177520"/>
    <w:rsid w:val="00177E5A"/>
    <w:rsid w:val="0018041F"/>
    <w:rsid w:val="00180683"/>
    <w:rsid w:val="001807B1"/>
    <w:rsid w:val="00180BD5"/>
    <w:rsid w:val="00181798"/>
    <w:rsid w:val="00181BD1"/>
    <w:rsid w:val="00181CBF"/>
    <w:rsid w:val="00181EF5"/>
    <w:rsid w:val="001826F9"/>
    <w:rsid w:val="00183021"/>
    <w:rsid w:val="00183D35"/>
    <w:rsid w:val="00183EC1"/>
    <w:rsid w:val="00184107"/>
    <w:rsid w:val="001844A1"/>
    <w:rsid w:val="00184722"/>
    <w:rsid w:val="001853CA"/>
    <w:rsid w:val="00186F03"/>
    <w:rsid w:val="001875C2"/>
    <w:rsid w:val="001876FE"/>
    <w:rsid w:val="00187A9A"/>
    <w:rsid w:val="00187B31"/>
    <w:rsid w:val="00187CF0"/>
    <w:rsid w:val="00187D66"/>
    <w:rsid w:val="00187D7C"/>
    <w:rsid w:val="00187EF1"/>
    <w:rsid w:val="00190702"/>
    <w:rsid w:val="001909B4"/>
    <w:rsid w:val="00190BB0"/>
    <w:rsid w:val="0019113D"/>
    <w:rsid w:val="00191210"/>
    <w:rsid w:val="0019137A"/>
    <w:rsid w:val="001915DD"/>
    <w:rsid w:val="00191CF9"/>
    <w:rsid w:val="00191EEF"/>
    <w:rsid w:val="00192EE4"/>
    <w:rsid w:val="0019327E"/>
    <w:rsid w:val="00193E4A"/>
    <w:rsid w:val="00193EE6"/>
    <w:rsid w:val="001941D8"/>
    <w:rsid w:val="00194707"/>
    <w:rsid w:val="001949A9"/>
    <w:rsid w:val="00194DA0"/>
    <w:rsid w:val="001956C1"/>
    <w:rsid w:val="001957C6"/>
    <w:rsid w:val="00195B6E"/>
    <w:rsid w:val="00195EB7"/>
    <w:rsid w:val="00195F19"/>
    <w:rsid w:val="00196035"/>
    <w:rsid w:val="001964E6"/>
    <w:rsid w:val="00196F61"/>
    <w:rsid w:val="00197A5E"/>
    <w:rsid w:val="001A002E"/>
    <w:rsid w:val="001A04F8"/>
    <w:rsid w:val="001A0CCB"/>
    <w:rsid w:val="001A0D59"/>
    <w:rsid w:val="001A0E75"/>
    <w:rsid w:val="001A11F2"/>
    <w:rsid w:val="001A17BE"/>
    <w:rsid w:val="001A1B9C"/>
    <w:rsid w:val="001A1EB1"/>
    <w:rsid w:val="001A2515"/>
    <w:rsid w:val="001A2617"/>
    <w:rsid w:val="001A301C"/>
    <w:rsid w:val="001A322A"/>
    <w:rsid w:val="001A3276"/>
    <w:rsid w:val="001A332F"/>
    <w:rsid w:val="001A37FA"/>
    <w:rsid w:val="001A395D"/>
    <w:rsid w:val="001A3D00"/>
    <w:rsid w:val="001A3E35"/>
    <w:rsid w:val="001A43A0"/>
    <w:rsid w:val="001A494D"/>
    <w:rsid w:val="001A4F71"/>
    <w:rsid w:val="001A513D"/>
    <w:rsid w:val="001A54E1"/>
    <w:rsid w:val="001A55F0"/>
    <w:rsid w:val="001A56E3"/>
    <w:rsid w:val="001A589E"/>
    <w:rsid w:val="001A5A33"/>
    <w:rsid w:val="001A5BE2"/>
    <w:rsid w:val="001A632E"/>
    <w:rsid w:val="001A6773"/>
    <w:rsid w:val="001A6D89"/>
    <w:rsid w:val="001A6F2A"/>
    <w:rsid w:val="001A7225"/>
    <w:rsid w:val="001A7866"/>
    <w:rsid w:val="001B0A86"/>
    <w:rsid w:val="001B0F21"/>
    <w:rsid w:val="001B0F25"/>
    <w:rsid w:val="001B17A2"/>
    <w:rsid w:val="001B1D1A"/>
    <w:rsid w:val="001B1E44"/>
    <w:rsid w:val="001B1EE4"/>
    <w:rsid w:val="001B1FBC"/>
    <w:rsid w:val="001B254E"/>
    <w:rsid w:val="001B25CD"/>
    <w:rsid w:val="001B2B71"/>
    <w:rsid w:val="001B2F51"/>
    <w:rsid w:val="001B3553"/>
    <w:rsid w:val="001B3BC3"/>
    <w:rsid w:val="001B3F0A"/>
    <w:rsid w:val="001B3FA1"/>
    <w:rsid w:val="001B412B"/>
    <w:rsid w:val="001B424B"/>
    <w:rsid w:val="001B4FF2"/>
    <w:rsid w:val="001B503A"/>
    <w:rsid w:val="001B5A8F"/>
    <w:rsid w:val="001B5DDD"/>
    <w:rsid w:val="001B6D53"/>
    <w:rsid w:val="001B7389"/>
    <w:rsid w:val="001B775B"/>
    <w:rsid w:val="001B7E5D"/>
    <w:rsid w:val="001B7F3A"/>
    <w:rsid w:val="001B7F9A"/>
    <w:rsid w:val="001C014F"/>
    <w:rsid w:val="001C04CB"/>
    <w:rsid w:val="001C0CD3"/>
    <w:rsid w:val="001C0EA5"/>
    <w:rsid w:val="001C152A"/>
    <w:rsid w:val="001C1DC6"/>
    <w:rsid w:val="001C200E"/>
    <w:rsid w:val="001C2628"/>
    <w:rsid w:val="001C2731"/>
    <w:rsid w:val="001C2AC8"/>
    <w:rsid w:val="001C2E02"/>
    <w:rsid w:val="001C321B"/>
    <w:rsid w:val="001C4553"/>
    <w:rsid w:val="001C481F"/>
    <w:rsid w:val="001C51EB"/>
    <w:rsid w:val="001C5224"/>
    <w:rsid w:val="001C5270"/>
    <w:rsid w:val="001C540A"/>
    <w:rsid w:val="001C5749"/>
    <w:rsid w:val="001C61DE"/>
    <w:rsid w:val="001C7527"/>
    <w:rsid w:val="001C78F3"/>
    <w:rsid w:val="001D0243"/>
    <w:rsid w:val="001D03AA"/>
    <w:rsid w:val="001D0B63"/>
    <w:rsid w:val="001D1336"/>
    <w:rsid w:val="001D1784"/>
    <w:rsid w:val="001D1DDA"/>
    <w:rsid w:val="001D1E9A"/>
    <w:rsid w:val="001D2BAF"/>
    <w:rsid w:val="001D2C67"/>
    <w:rsid w:val="001D3097"/>
    <w:rsid w:val="001D3279"/>
    <w:rsid w:val="001D4686"/>
    <w:rsid w:val="001D4A6F"/>
    <w:rsid w:val="001D4B1B"/>
    <w:rsid w:val="001D5262"/>
    <w:rsid w:val="001D5394"/>
    <w:rsid w:val="001D5608"/>
    <w:rsid w:val="001D59D4"/>
    <w:rsid w:val="001D614D"/>
    <w:rsid w:val="001D6246"/>
    <w:rsid w:val="001D62AE"/>
    <w:rsid w:val="001D685B"/>
    <w:rsid w:val="001D68FD"/>
    <w:rsid w:val="001D7145"/>
    <w:rsid w:val="001D73D8"/>
    <w:rsid w:val="001D7CF0"/>
    <w:rsid w:val="001E0576"/>
    <w:rsid w:val="001E08EB"/>
    <w:rsid w:val="001E0B5B"/>
    <w:rsid w:val="001E0C0A"/>
    <w:rsid w:val="001E0EF3"/>
    <w:rsid w:val="001E14CC"/>
    <w:rsid w:val="001E1A02"/>
    <w:rsid w:val="001E1A95"/>
    <w:rsid w:val="001E20C1"/>
    <w:rsid w:val="001E20C2"/>
    <w:rsid w:val="001E2327"/>
    <w:rsid w:val="001E32F8"/>
    <w:rsid w:val="001E3CFD"/>
    <w:rsid w:val="001E50CD"/>
    <w:rsid w:val="001E5AAA"/>
    <w:rsid w:val="001E5BD9"/>
    <w:rsid w:val="001E5EAD"/>
    <w:rsid w:val="001E63A9"/>
    <w:rsid w:val="001E6AFE"/>
    <w:rsid w:val="001E6B64"/>
    <w:rsid w:val="001E723F"/>
    <w:rsid w:val="001E7DE9"/>
    <w:rsid w:val="001F0296"/>
    <w:rsid w:val="001F07F0"/>
    <w:rsid w:val="001F0830"/>
    <w:rsid w:val="001F08BF"/>
    <w:rsid w:val="001F0FA5"/>
    <w:rsid w:val="001F1044"/>
    <w:rsid w:val="001F1076"/>
    <w:rsid w:val="001F1DE4"/>
    <w:rsid w:val="001F227E"/>
    <w:rsid w:val="001F2608"/>
    <w:rsid w:val="001F2779"/>
    <w:rsid w:val="001F319E"/>
    <w:rsid w:val="001F3C89"/>
    <w:rsid w:val="001F4CF2"/>
    <w:rsid w:val="001F516B"/>
    <w:rsid w:val="001F5519"/>
    <w:rsid w:val="001F5946"/>
    <w:rsid w:val="001F5D27"/>
    <w:rsid w:val="001F5DCA"/>
    <w:rsid w:val="001F63FF"/>
    <w:rsid w:val="001F67F3"/>
    <w:rsid w:val="001F6885"/>
    <w:rsid w:val="001F6B91"/>
    <w:rsid w:val="001F7073"/>
    <w:rsid w:val="001F73CC"/>
    <w:rsid w:val="001F7C3B"/>
    <w:rsid w:val="001F7D44"/>
    <w:rsid w:val="00200172"/>
    <w:rsid w:val="00200217"/>
    <w:rsid w:val="002002B4"/>
    <w:rsid w:val="00201547"/>
    <w:rsid w:val="00201899"/>
    <w:rsid w:val="00201EA6"/>
    <w:rsid w:val="00202196"/>
    <w:rsid w:val="0020231E"/>
    <w:rsid w:val="00202ADF"/>
    <w:rsid w:val="00202DFA"/>
    <w:rsid w:val="00202FCD"/>
    <w:rsid w:val="00203815"/>
    <w:rsid w:val="00203999"/>
    <w:rsid w:val="00203C06"/>
    <w:rsid w:val="00203CD6"/>
    <w:rsid w:val="002041F6"/>
    <w:rsid w:val="00204553"/>
    <w:rsid w:val="002047A5"/>
    <w:rsid w:val="00204993"/>
    <w:rsid w:val="00204CD9"/>
    <w:rsid w:val="002053A8"/>
    <w:rsid w:val="00205488"/>
    <w:rsid w:val="002057F6"/>
    <w:rsid w:val="00205F35"/>
    <w:rsid w:val="00206B7D"/>
    <w:rsid w:val="00206E73"/>
    <w:rsid w:val="00210329"/>
    <w:rsid w:val="0021032C"/>
    <w:rsid w:val="002106EB"/>
    <w:rsid w:val="002108D7"/>
    <w:rsid w:val="00211296"/>
    <w:rsid w:val="00211A61"/>
    <w:rsid w:val="00211A9B"/>
    <w:rsid w:val="00211EB4"/>
    <w:rsid w:val="0021288D"/>
    <w:rsid w:val="00212FB4"/>
    <w:rsid w:val="002130F9"/>
    <w:rsid w:val="0021339D"/>
    <w:rsid w:val="0021382A"/>
    <w:rsid w:val="00213956"/>
    <w:rsid w:val="002140FF"/>
    <w:rsid w:val="0021443E"/>
    <w:rsid w:val="00214641"/>
    <w:rsid w:val="00214A3F"/>
    <w:rsid w:val="00214C08"/>
    <w:rsid w:val="00215352"/>
    <w:rsid w:val="002155E6"/>
    <w:rsid w:val="00215E6D"/>
    <w:rsid w:val="002160A5"/>
    <w:rsid w:val="00216128"/>
    <w:rsid w:val="00216D4F"/>
    <w:rsid w:val="00216D67"/>
    <w:rsid w:val="00217074"/>
    <w:rsid w:val="002175E7"/>
    <w:rsid w:val="002178D6"/>
    <w:rsid w:val="00217EF9"/>
    <w:rsid w:val="00220E09"/>
    <w:rsid w:val="0022157B"/>
    <w:rsid w:val="0022187E"/>
    <w:rsid w:val="00221AF6"/>
    <w:rsid w:val="00222698"/>
    <w:rsid w:val="00222999"/>
    <w:rsid w:val="00223817"/>
    <w:rsid w:val="00223A6F"/>
    <w:rsid w:val="00223A70"/>
    <w:rsid w:val="00223F17"/>
    <w:rsid w:val="002243E4"/>
    <w:rsid w:val="002248BB"/>
    <w:rsid w:val="00224EF5"/>
    <w:rsid w:val="0022564F"/>
    <w:rsid w:val="002256F9"/>
    <w:rsid w:val="00225848"/>
    <w:rsid w:val="00225B57"/>
    <w:rsid w:val="00225ED7"/>
    <w:rsid w:val="002262CC"/>
    <w:rsid w:val="00227062"/>
    <w:rsid w:val="0022713C"/>
    <w:rsid w:val="00230269"/>
    <w:rsid w:val="002306E7"/>
    <w:rsid w:val="00230C2C"/>
    <w:rsid w:val="002327C3"/>
    <w:rsid w:val="002328E4"/>
    <w:rsid w:val="0023349B"/>
    <w:rsid w:val="002337AE"/>
    <w:rsid w:val="00233CAB"/>
    <w:rsid w:val="00233FB5"/>
    <w:rsid w:val="002342E7"/>
    <w:rsid w:val="00234393"/>
    <w:rsid w:val="0023442D"/>
    <w:rsid w:val="00234480"/>
    <w:rsid w:val="00234B94"/>
    <w:rsid w:val="00234E9B"/>
    <w:rsid w:val="002356FE"/>
    <w:rsid w:val="00236BF4"/>
    <w:rsid w:val="00236C0C"/>
    <w:rsid w:val="00236F8B"/>
    <w:rsid w:val="0023796C"/>
    <w:rsid w:val="002401AC"/>
    <w:rsid w:val="00240634"/>
    <w:rsid w:val="002406A2"/>
    <w:rsid w:val="00241012"/>
    <w:rsid w:val="00241321"/>
    <w:rsid w:val="00241AAF"/>
    <w:rsid w:val="00242550"/>
    <w:rsid w:val="002427E3"/>
    <w:rsid w:val="00242F64"/>
    <w:rsid w:val="00242F95"/>
    <w:rsid w:val="002430DC"/>
    <w:rsid w:val="00243CD2"/>
    <w:rsid w:val="00243D98"/>
    <w:rsid w:val="00243E72"/>
    <w:rsid w:val="002441F7"/>
    <w:rsid w:val="0024484D"/>
    <w:rsid w:val="00245719"/>
    <w:rsid w:val="00246308"/>
    <w:rsid w:val="002468AD"/>
    <w:rsid w:val="00246AD9"/>
    <w:rsid w:val="00246EE9"/>
    <w:rsid w:val="00247BB3"/>
    <w:rsid w:val="00247DB9"/>
    <w:rsid w:val="00247DBE"/>
    <w:rsid w:val="00250131"/>
    <w:rsid w:val="0025021B"/>
    <w:rsid w:val="002506D9"/>
    <w:rsid w:val="00250A4F"/>
    <w:rsid w:val="00250F8C"/>
    <w:rsid w:val="002512E9"/>
    <w:rsid w:val="00251464"/>
    <w:rsid w:val="00251AD6"/>
    <w:rsid w:val="00251FF4"/>
    <w:rsid w:val="00252E02"/>
    <w:rsid w:val="00252EC8"/>
    <w:rsid w:val="00253372"/>
    <w:rsid w:val="00253682"/>
    <w:rsid w:val="00253BA5"/>
    <w:rsid w:val="00253C9B"/>
    <w:rsid w:val="00254B40"/>
    <w:rsid w:val="0025507F"/>
    <w:rsid w:val="00255234"/>
    <w:rsid w:val="00255331"/>
    <w:rsid w:val="00255892"/>
    <w:rsid w:val="0025623D"/>
    <w:rsid w:val="00256A86"/>
    <w:rsid w:val="00256DBF"/>
    <w:rsid w:val="002575DE"/>
    <w:rsid w:val="00257C50"/>
    <w:rsid w:val="00257CCB"/>
    <w:rsid w:val="00257D15"/>
    <w:rsid w:val="00257D94"/>
    <w:rsid w:val="002602BC"/>
    <w:rsid w:val="00260473"/>
    <w:rsid w:val="002610C6"/>
    <w:rsid w:val="002613BC"/>
    <w:rsid w:val="002613BE"/>
    <w:rsid w:val="0026176D"/>
    <w:rsid w:val="00261CDD"/>
    <w:rsid w:val="00262A7A"/>
    <w:rsid w:val="00262E48"/>
    <w:rsid w:val="00263468"/>
    <w:rsid w:val="002634D5"/>
    <w:rsid w:val="0026406A"/>
    <w:rsid w:val="0026412C"/>
    <w:rsid w:val="002644CB"/>
    <w:rsid w:val="0026467B"/>
    <w:rsid w:val="00264F15"/>
    <w:rsid w:val="002656CF"/>
    <w:rsid w:val="00265ADF"/>
    <w:rsid w:val="002678F1"/>
    <w:rsid w:val="00267C05"/>
    <w:rsid w:val="00267D10"/>
    <w:rsid w:val="00270517"/>
    <w:rsid w:val="00270945"/>
    <w:rsid w:val="00270D9E"/>
    <w:rsid w:val="0027109B"/>
    <w:rsid w:val="002710C1"/>
    <w:rsid w:val="0027174D"/>
    <w:rsid w:val="00271F97"/>
    <w:rsid w:val="00272277"/>
    <w:rsid w:val="002724D2"/>
    <w:rsid w:val="00272721"/>
    <w:rsid w:val="0027295C"/>
    <w:rsid w:val="00272B30"/>
    <w:rsid w:val="00272B59"/>
    <w:rsid w:val="00272ED1"/>
    <w:rsid w:val="00272FB8"/>
    <w:rsid w:val="00273038"/>
    <w:rsid w:val="0027385B"/>
    <w:rsid w:val="00273CE5"/>
    <w:rsid w:val="00273CE9"/>
    <w:rsid w:val="00273E13"/>
    <w:rsid w:val="00274972"/>
    <w:rsid w:val="00274A2A"/>
    <w:rsid w:val="00275B32"/>
    <w:rsid w:val="00275B78"/>
    <w:rsid w:val="002761E9"/>
    <w:rsid w:val="00276897"/>
    <w:rsid w:val="0027740F"/>
    <w:rsid w:val="00277E97"/>
    <w:rsid w:val="00280340"/>
    <w:rsid w:val="00280341"/>
    <w:rsid w:val="0028051D"/>
    <w:rsid w:val="00280D0C"/>
    <w:rsid w:val="00280E31"/>
    <w:rsid w:val="00280EDE"/>
    <w:rsid w:val="00281660"/>
    <w:rsid w:val="0028188A"/>
    <w:rsid w:val="0028190B"/>
    <w:rsid w:val="002825A1"/>
    <w:rsid w:val="00282802"/>
    <w:rsid w:val="00282CA7"/>
    <w:rsid w:val="00283214"/>
    <w:rsid w:val="00283557"/>
    <w:rsid w:val="002835BF"/>
    <w:rsid w:val="002837A0"/>
    <w:rsid w:val="00283B96"/>
    <w:rsid w:val="00284C03"/>
    <w:rsid w:val="00284C80"/>
    <w:rsid w:val="00285091"/>
    <w:rsid w:val="002851FC"/>
    <w:rsid w:val="002852D3"/>
    <w:rsid w:val="002853FB"/>
    <w:rsid w:val="00285497"/>
    <w:rsid w:val="00285EB0"/>
    <w:rsid w:val="0028637B"/>
    <w:rsid w:val="002865BA"/>
    <w:rsid w:val="002865EC"/>
    <w:rsid w:val="00286901"/>
    <w:rsid w:val="00286C28"/>
    <w:rsid w:val="00286EAA"/>
    <w:rsid w:val="00287730"/>
    <w:rsid w:val="00287744"/>
    <w:rsid w:val="002877FD"/>
    <w:rsid w:val="002902CB"/>
    <w:rsid w:val="00290C2D"/>
    <w:rsid w:val="00290F01"/>
    <w:rsid w:val="0029116B"/>
    <w:rsid w:val="002917F1"/>
    <w:rsid w:val="0029195C"/>
    <w:rsid w:val="00291D09"/>
    <w:rsid w:val="00292819"/>
    <w:rsid w:val="00292D61"/>
    <w:rsid w:val="00293A53"/>
    <w:rsid w:val="00293CB6"/>
    <w:rsid w:val="002951BF"/>
    <w:rsid w:val="002955DF"/>
    <w:rsid w:val="00295740"/>
    <w:rsid w:val="00295CE6"/>
    <w:rsid w:val="002966A3"/>
    <w:rsid w:val="00296935"/>
    <w:rsid w:val="00296CC5"/>
    <w:rsid w:val="00296E9E"/>
    <w:rsid w:val="0029723F"/>
    <w:rsid w:val="00297950"/>
    <w:rsid w:val="002A00DA"/>
    <w:rsid w:val="002A13B9"/>
    <w:rsid w:val="002A18B3"/>
    <w:rsid w:val="002A2345"/>
    <w:rsid w:val="002A2431"/>
    <w:rsid w:val="002A2B9D"/>
    <w:rsid w:val="002A2BD7"/>
    <w:rsid w:val="002A3B75"/>
    <w:rsid w:val="002A40A3"/>
    <w:rsid w:val="002A4B82"/>
    <w:rsid w:val="002A4C0B"/>
    <w:rsid w:val="002A4C9F"/>
    <w:rsid w:val="002A4F68"/>
    <w:rsid w:val="002A5A90"/>
    <w:rsid w:val="002A5B2E"/>
    <w:rsid w:val="002A663F"/>
    <w:rsid w:val="002A6CFE"/>
    <w:rsid w:val="002A6DFB"/>
    <w:rsid w:val="002A6FDB"/>
    <w:rsid w:val="002A722B"/>
    <w:rsid w:val="002A7285"/>
    <w:rsid w:val="002A7815"/>
    <w:rsid w:val="002A7BB5"/>
    <w:rsid w:val="002B00BA"/>
    <w:rsid w:val="002B0624"/>
    <w:rsid w:val="002B06D4"/>
    <w:rsid w:val="002B0775"/>
    <w:rsid w:val="002B1A94"/>
    <w:rsid w:val="002B22CD"/>
    <w:rsid w:val="002B23FC"/>
    <w:rsid w:val="002B287E"/>
    <w:rsid w:val="002B2C44"/>
    <w:rsid w:val="002B2CE7"/>
    <w:rsid w:val="002B2FC4"/>
    <w:rsid w:val="002B37DF"/>
    <w:rsid w:val="002B4258"/>
    <w:rsid w:val="002B47A8"/>
    <w:rsid w:val="002B4942"/>
    <w:rsid w:val="002B5081"/>
    <w:rsid w:val="002B566C"/>
    <w:rsid w:val="002B6237"/>
    <w:rsid w:val="002B6253"/>
    <w:rsid w:val="002B70F1"/>
    <w:rsid w:val="002B7DF7"/>
    <w:rsid w:val="002C0478"/>
    <w:rsid w:val="002C09F0"/>
    <w:rsid w:val="002C0D15"/>
    <w:rsid w:val="002C0D5D"/>
    <w:rsid w:val="002C0DCB"/>
    <w:rsid w:val="002C151F"/>
    <w:rsid w:val="002C18FA"/>
    <w:rsid w:val="002C23ED"/>
    <w:rsid w:val="002C2873"/>
    <w:rsid w:val="002C2F48"/>
    <w:rsid w:val="002C387D"/>
    <w:rsid w:val="002C3A14"/>
    <w:rsid w:val="002C4505"/>
    <w:rsid w:val="002C508F"/>
    <w:rsid w:val="002C5152"/>
    <w:rsid w:val="002C5513"/>
    <w:rsid w:val="002C6101"/>
    <w:rsid w:val="002C6218"/>
    <w:rsid w:val="002C6F33"/>
    <w:rsid w:val="002C7258"/>
    <w:rsid w:val="002C7A3A"/>
    <w:rsid w:val="002D0324"/>
    <w:rsid w:val="002D068B"/>
    <w:rsid w:val="002D0C46"/>
    <w:rsid w:val="002D2412"/>
    <w:rsid w:val="002D2504"/>
    <w:rsid w:val="002D265A"/>
    <w:rsid w:val="002D3598"/>
    <w:rsid w:val="002D392E"/>
    <w:rsid w:val="002D3BE4"/>
    <w:rsid w:val="002D3C49"/>
    <w:rsid w:val="002D4A8B"/>
    <w:rsid w:val="002D4FDF"/>
    <w:rsid w:val="002D5CAA"/>
    <w:rsid w:val="002D637A"/>
    <w:rsid w:val="002D65E5"/>
    <w:rsid w:val="002D6809"/>
    <w:rsid w:val="002D71B1"/>
    <w:rsid w:val="002D7893"/>
    <w:rsid w:val="002D7981"/>
    <w:rsid w:val="002D7F78"/>
    <w:rsid w:val="002E1078"/>
    <w:rsid w:val="002E13F0"/>
    <w:rsid w:val="002E1A41"/>
    <w:rsid w:val="002E21FD"/>
    <w:rsid w:val="002E252B"/>
    <w:rsid w:val="002E2770"/>
    <w:rsid w:val="002E297E"/>
    <w:rsid w:val="002E376B"/>
    <w:rsid w:val="002E3A6B"/>
    <w:rsid w:val="002E3ACD"/>
    <w:rsid w:val="002E3B44"/>
    <w:rsid w:val="002E41AC"/>
    <w:rsid w:val="002E4468"/>
    <w:rsid w:val="002E4BA1"/>
    <w:rsid w:val="002E4E53"/>
    <w:rsid w:val="002E5920"/>
    <w:rsid w:val="002E5E94"/>
    <w:rsid w:val="002E628A"/>
    <w:rsid w:val="002E6E3A"/>
    <w:rsid w:val="002E6E82"/>
    <w:rsid w:val="002E7146"/>
    <w:rsid w:val="002E78B9"/>
    <w:rsid w:val="002F06CB"/>
    <w:rsid w:val="002F10EC"/>
    <w:rsid w:val="002F14D5"/>
    <w:rsid w:val="002F17A3"/>
    <w:rsid w:val="002F1B5A"/>
    <w:rsid w:val="002F2216"/>
    <w:rsid w:val="002F2449"/>
    <w:rsid w:val="002F2F8B"/>
    <w:rsid w:val="002F3088"/>
    <w:rsid w:val="002F3153"/>
    <w:rsid w:val="002F3760"/>
    <w:rsid w:val="002F4043"/>
    <w:rsid w:val="002F4669"/>
    <w:rsid w:val="002F483D"/>
    <w:rsid w:val="002F49EF"/>
    <w:rsid w:val="002F4E90"/>
    <w:rsid w:val="002F5C69"/>
    <w:rsid w:val="002F5CC7"/>
    <w:rsid w:val="002F5CD0"/>
    <w:rsid w:val="002F611D"/>
    <w:rsid w:val="002F6E02"/>
    <w:rsid w:val="002F7350"/>
    <w:rsid w:val="00300EFE"/>
    <w:rsid w:val="003010C7"/>
    <w:rsid w:val="00301588"/>
    <w:rsid w:val="00302A84"/>
    <w:rsid w:val="00302CF0"/>
    <w:rsid w:val="00302E3C"/>
    <w:rsid w:val="00302FBE"/>
    <w:rsid w:val="00303A57"/>
    <w:rsid w:val="00303A70"/>
    <w:rsid w:val="00304864"/>
    <w:rsid w:val="00304A3C"/>
    <w:rsid w:val="00304C4A"/>
    <w:rsid w:val="0030500B"/>
    <w:rsid w:val="0030500D"/>
    <w:rsid w:val="003058D7"/>
    <w:rsid w:val="003059ED"/>
    <w:rsid w:val="00305A91"/>
    <w:rsid w:val="00305CF9"/>
    <w:rsid w:val="00305D44"/>
    <w:rsid w:val="00305D6A"/>
    <w:rsid w:val="00306037"/>
    <w:rsid w:val="0030665E"/>
    <w:rsid w:val="003067A1"/>
    <w:rsid w:val="003075A9"/>
    <w:rsid w:val="00307714"/>
    <w:rsid w:val="003078B7"/>
    <w:rsid w:val="00310133"/>
    <w:rsid w:val="003110CC"/>
    <w:rsid w:val="00311E05"/>
    <w:rsid w:val="00312B2C"/>
    <w:rsid w:val="00312BDB"/>
    <w:rsid w:val="00313829"/>
    <w:rsid w:val="0031438E"/>
    <w:rsid w:val="003144F0"/>
    <w:rsid w:val="0031463E"/>
    <w:rsid w:val="0031583C"/>
    <w:rsid w:val="00315EBC"/>
    <w:rsid w:val="003160CB"/>
    <w:rsid w:val="00316682"/>
    <w:rsid w:val="00316A86"/>
    <w:rsid w:val="00316D47"/>
    <w:rsid w:val="0031706F"/>
    <w:rsid w:val="0031725A"/>
    <w:rsid w:val="0031757C"/>
    <w:rsid w:val="00320519"/>
    <w:rsid w:val="00320F72"/>
    <w:rsid w:val="00320FD4"/>
    <w:rsid w:val="00321194"/>
    <w:rsid w:val="00321606"/>
    <w:rsid w:val="00321808"/>
    <w:rsid w:val="003222F3"/>
    <w:rsid w:val="00322754"/>
    <w:rsid w:val="003228EE"/>
    <w:rsid w:val="0032339D"/>
    <w:rsid w:val="003237F6"/>
    <w:rsid w:val="00323D20"/>
    <w:rsid w:val="003244BE"/>
    <w:rsid w:val="00324543"/>
    <w:rsid w:val="00324561"/>
    <w:rsid w:val="00324CF4"/>
    <w:rsid w:val="00325020"/>
    <w:rsid w:val="0032518A"/>
    <w:rsid w:val="00325795"/>
    <w:rsid w:val="00325B81"/>
    <w:rsid w:val="00325C44"/>
    <w:rsid w:val="00325F2E"/>
    <w:rsid w:val="003262F5"/>
    <w:rsid w:val="00326A08"/>
    <w:rsid w:val="003279F9"/>
    <w:rsid w:val="00327BEA"/>
    <w:rsid w:val="00327D4C"/>
    <w:rsid w:val="00327FB4"/>
    <w:rsid w:val="00327FCB"/>
    <w:rsid w:val="003300F2"/>
    <w:rsid w:val="003307D4"/>
    <w:rsid w:val="00330D9E"/>
    <w:rsid w:val="00330F8C"/>
    <w:rsid w:val="003313C4"/>
    <w:rsid w:val="00331F16"/>
    <w:rsid w:val="00331FC4"/>
    <w:rsid w:val="00332016"/>
    <w:rsid w:val="00332506"/>
    <w:rsid w:val="0033262B"/>
    <w:rsid w:val="00332836"/>
    <w:rsid w:val="003329A7"/>
    <w:rsid w:val="00332AA7"/>
    <w:rsid w:val="00332B6C"/>
    <w:rsid w:val="00332F99"/>
    <w:rsid w:val="00333031"/>
    <w:rsid w:val="00333491"/>
    <w:rsid w:val="00333861"/>
    <w:rsid w:val="003338C5"/>
    <w:rsid w:val="00334086"/>
    <w:rsid w:val="00334692"/>
    <w:rsid w:val="003353FC"/>
    <w:rsid w:val="00337137"/>
    <w:rsid w:val="003378BF"/>
    <w:rsid w:val="00337CC3"/>
    <w:rsid w:val="00337FB6"/>
    <w:rsid w:val="003401E5"/>
    <w:rsid w:val="00340643"/>
    <w:rsid w:val="0034067F"/>
    <w:rsid w:val="00340BF9"/>
    <w:rsid w:val="00341537"/>
    <w:rsid w:val="00341783"/>
    <w:rsid w:val="00342822"/>
    <w:rsid w:val="00342F3B"/>
    <w:rsid w:val="00342FC5"/>
    <w:rsid w:val="00343608"/>
    <w:rsid w:val="0034385B"/>
    <w:rsid w:val="00343A2F"/>
    <w:rsid w:val="00343AD1"/>
    <w:rsid w:val="00344134"/>
    <w:rsid w:val="00344305"/>
    <w:rsid w:val="003444E4"/>
    <w:rsid w:val="00344630"/>
    <w:rsid w:val="00344CD0"/>
    <w:rsid w:val="00345733"/>
    <w:rsid w:val="00345FD2"/>
    <w:rsid w:val="00346061"/>
    <w:rsid w:val="0034640F"/>
    <w:rsid w:val="0034678B"/>
    <w:rsid w:val="003467AE"/>
    <w:rsid w:val="003467B8"/>
    <w:rsid w:val="00346CE2"/>
    <w:rsid w:val="00346CF0"/>
    <w:rsid w:val="0034779A"/>
    <w:rsid w:val="00347B48"/>
    <w:rsid w:val="00347CFD"/>
    <w:rsid w:val="00350374"/>
    <w:rsid w:val="00350976"/>
    <w:rsid w:val="003509F9"/>
    <w:rsid w:val="00350A03"/>
    <w:rsid w:val="00350EC6"/>
    <w:rsid w:val="00351EE3"/>
    <w:rsid w:val="00351F2F"/>
    <w:rsid w:val="00351FBB"/>
    <w:rsid w:val="00351FD2"/>
    <w:rsid w:val="00352274"/>
    <w:rsid w:val="00353139"/>
    <w:rsid w:val="00353164"/>
    <w:rsid w:val="00353327"/>
    <w:rsid w:val="003538A9"/>
    <w:rsid w:val="00353BC1"/>
    <w:rsid w:val="0035408A"/>
    <w:rsid w:val="00354160"/>
    <w:rsid w:val="003554D6"/>
    <w:rsid w:val="00355554"/>
    <w:rsid w:val="00355690"/>
    <w:rsid w:val="0035587C"/>
    <w:rsid w:val="00355ACE"/>
    <w:rsid w:val="00355D60"/>
    <w:rsid w:val="0035654B"/>
    <w:rsid w:val="003567D3"/>
    <w:rsid w:val="003568C2"/>
    <w:rsid w:val="00356C04"/>
    <w:rsid w:val="00356D71"/>
    <w:rsid w:val="00356E0B"/>
    <w:rsid w:val="00356E36"/>
    <w:rsid w:val="00357815"/>
    <w:rsid w:val="00357EF9"/>
    <w:rsid w:val="003605A2"/>
    <w:rsid w:val="00360697"/>
    <w:rsid w:val="00360BC2"/>
    <w:rsid w:val="0036137C"/>
    <w:rsid w:val="003617F6"/>
    <w:rsid w:val="00361E43"/>
    <w:rsid w:val="0036204F"/>
    <w:rsid w:val="0036237E"/>
    <w:rsid w:val="003625C5"/>
    <w:rsid w:val="003626F3"/>
    <w:rsid w:val="00362CE1"/>
    <w:rsid w:val="00362F99"/>
    <w:rsid w:val="00363493"/>
    <w:rsid w:val="00363978"/>
    <w:rsid w:val="00363B5C"/>
    <w:rsid w:val="0036406B"/>
    <w:rsid w:val="003649DE"/>
    <w:rsid w:val="00364EA4"/>
    <w:rsid w:val="00364FDA"/>
    <w:rsid w:val="00366B5B"/>
    <w:rsid w:val="00366C89"/>
    <w:rsid w:val="00366FCF"/>
    <w:rsid w:val="00367036"/>
    <w:rsid w:val="00367E53"/>
    <w:rsid w:val="003708BF"/>
    <w:rsid w:val="00370A34"/>
    <w:rsid w:val="00370B8D"/>
    <w:rsid w:val="0037197B"/>
    <w:rsid w:val="00371F8A"/>
    <w:rsid w:val="003724C6"/>
    <w:rsid w:val="003733CE"/>
    <w:rsid w:val="00373968"/>
    <w:rsid w:val="00373CF1"/>
    <w:rsid w:val="00373D93"/>
    <w:rsid w:val="00374214"/>
    <w:rsid w:val="003747FD"/>
    <w:rsid w:val="00374894"/>
    <w:rsid w:val="00374BB9"/>
    <w:rsid w:val="00375380"/>
    <w:rsid w:val="00375C4F"/>
    <w:rsid w:val="0037654E"/>
    <w:rsid w:val="003766AF"/>
    <w:rsid w:val="00376705"/>
    <w:rsid w:val="00376878"/>
    <w:rsid w:val="003768ED"/>
    <w:rsid w:val="00376DEE"/>
    <w:rsid w:val="00377374"/>
    <w:rsid w:val="00377BE9"/>
    <w:rsid w:val="00380B1B"/>
    <w:rsid w:val="003813EC"/>
    <w:rsid w:val="0038188C"/>
    <w:rsid w:val="00381A6C"/>
    <w:rsid w:val="0038254B"/>
    <w:rsid w:val="0038311F"/>
    <w:rsid w:val="00383B4B"/>
    <w:rsid w:val="00384A3C"/>
    <w:rsid w:val="00385ED8"/>
    <w:rsid w:val="00385FA4"/>
    <w:rsid w:val="00386CE3"/>
    <w:rsid w:val="00387376"/>
    <w:rsid w:val="00387EAA"/>
    <w:rsid w:val="003903C8"/>
    <w:rsid w:val="003904AB"/>
    <w:rsid w:val="00390770"/>
    <w:rsid w:val="003911A5"/>
    <w:rsid w:val="00391C13"/>
    <w:rsid w:val="00392CA5"/>
    <w:rsid w:val="00393002"/>
    <w:rsid w:val="00394528"/>
    <w:rsid w:val="00394AD5"/>
    <w:rsid w:val="0039525B"/>
    <w:rsid w:val="0039526A"/>
    <w:rsid w:val="00395E82"/>
    <w:rsid w:val="003964D0"/>
    <w:rsid w:val="003964D5"/>
    <w:rsid w:val="003964D9"/>
    <w:rsid w:val="003967A0"/>
    <w:rsid w:val="00397743"/>
    <w:rsid w:val="00397A17"/>
    <w:rsid w:val="00397E85"/>
    <w:rsid w:val="003A0013"/>
    <w:rsid w:val="003A01BE"/>
    <w:rsid w:val="003A02CA"/>
    <w:rsid w:val="003A0688"/>
    <w:rsid w:val="003A0711"/>
    <w:rsid w:val="003A087E"/>
    <w:rsid w:val="003A1D75"/>
    <w:rsid w:val="003A1FE4"/>
    <w:rsid w:val="003A249C"/>
    <w:rsid w:val="003A2A12"/>
    <w:rsid w:val="003A31DA"/>
    <w:rsid w:val="003A356E"/>
    <w:rsid w:val="003A357D"/>
    <w:rsid w:val="003A3BE1"/>
    <w:rsid w:val="003A3D7A"/>
    <w:rsid w:val="003A4B14"/>
    <w:rsid w:val="003A5770"/>
    <w:rsid w:val="003A580A"/>
    <w:rsid w:val="003A5C2B"/>
    <w:rsid w:val="003A5CCF"/>
    <w:rsid w:val="003A6DCA"/>
    <w:rsid w:val="003A6E9B"/>
    <w:rsid w:val="003A7898"/>
    <w:rsid w:val="003A79AC"/>
    <w:rsid w:val="003A7A0E"/>
    <w:rsid w:val="003A7A18"/>
    <w:rsid w:val="003A7BF9"/>
    <w:rsid w:val="003B07DB"/>
    <w:rsid w:val="003B0827"/>
    <w:rsid w:val="003B111E"/>
    <w:rsid w:val="003B12A9"/>
    <w:rsid w:val="003B15FE"/>
    <w:rsid w:val="003B1613"/>
    <w:rsid w:val="003B188A"/>
    <w:rsid w:val="003B1994"/>
    <w:rsid w:val="003B22BD"/>
    <w:rsid w:val="003B257F"/>
    <w:rsid w:val="003B26F0"/>
    <w:rsid w:val="003B2C28"/>
    <w:rsid w:val="003B2F6E"/>
    <w:rsid w:val="003B48A6"/>
    <w:rsid w:val="003B5A09"/>
    <w:rsid w:val="003B66E3"/>
    <w:rsid w:val="003B6BB4"/>
    <w:rsid w:val="003B6D79"/>
    <w:rsid w:val="003B727E"/>
    <w:rsid w:val="003B7464"/>
    <w:rsid w:val="003B7564"/>
    <w:rsid w:val="003B76D4"/>
    <w:rsid w:val="003B7C96"/>
    <w:rsid w:val="003C1047"/>
    <w:rsid w:val="003C151D"/>
    <w:rsid w:val="003C1A2A"/>
    <w:rsid w:val="003C29A4"/>
    <w:rsid w:val="003C316C"/>
    <w:rsid w:val="003C3CD9"/>
    <w:rsid w:val="003C3D62"/>
    <w:rsid w:val="003C4899"/>
    <w:rsid w:val="003C4B0B"/>
    <w:rsid w:val="003C4B2E"/>
    <w:rsid w:val="003C51BE"/>
    <w:rsid w:val="003C6435"/>
    <w:rsid w:val="003C6634"/>
    <w:rsid w:val="003C7302"/>
    <w:rsid w:val="003C7AA1"/>
    <w:rsid w:val="003D0342"/>
    <w:rsid w:val="003D1604"/>
    <w:rsid w:val="003D1A37"/>
    <w:rsid w:val="003D2148"/>
    <w:rsid w:val="003D2304"/>
    <w:rsid w:val="003D23A9"/>
    <w:rsid w:val="003D25F7"/>
    <w:rsid w:val="003D294B"/>
    <w:rsid w:val="003D2C0E"/>
    <w:rsid w:val="003D3258"/>
    <w:rsid w:val="003D32DE"/>
    <w:rsid w:val="003D39C7"/>
    <w:rsid w:val="003D4F70"/>
    <w:rsid w:val="003D56C1"/>
    <w:rsid w:val="003D5B7E"/>
    <w:rsid w:val="003D6039"/>
    <w:rsid w:val="003D685E"/>
    <w:rsid w:val="003D722E"/>
    <w:rsid w:val="003D73BD"/>
    <w:rsid w:val="003D756F"/>
    <w:rsid w:val="003D7964"/>
    <w:rsid w:val="003D7FAD"/>
    <w:rsid w:val="003E0413"/>
    <w:rsid w:val="003E04A6"/>
    <w:rsid w:val="003E07CB"/>
    <w:rsid w:val="003E12E4"/>
    <w:rsid w:val="003E15AF"/>
    <w:rsid w:val="003E1920"/>
    <w:rsid w:val="003E2267"/>
    <w:rsid w:val="003E22D0"/>
    <w:rsid w:val="003E258C"/>
    <w:rsid w:val="003E2788"/>
    <w:rsid w:val="003E3304"/>
    <w:rsid w:val="003E3568"/>
    <w:rsid w:val="003E3592"/>
    <w:rsid w:val="003E425A"/>
    <w:rsid w:val="003E4470"/>
    <w:rsid w:val="003E5237"/>
    <w:rsid w:val="003E55AE"/>
    <w:rsid w:val="003E5A4D"/>
    <w:rsid w:val="003E5F26"/>
    <w:rsid w:val="003E5F70"/>
    <w:rsid w:val="003E6F0D"/>
    <w:rsid w:val="003E7734"/>
    <w:rsid w:val="003F0813"/>
    <w:rsid w:val="003F0A71"/>
    <w:rsid w:val="003F0C2A"/>
    <w:rsid w:val="003F0E9F"/>
    <w:rsid w:val="003F1886"/>
    <w:rsid w:val="003F1C50"/>
    <w:rsid w:val="003F2255"/>
    <w:rsid w:val="003F23AA"/>
    <w:rsid w:val="003F24C3"/>
    <w:rsid w:val="003F256D"/>
    <w:rsid w:val="003F2EBA"/>
    <w:rsid w:val="003F35D9"/>
    <w:rsid w:val="003F390B"/>
    <w:rsid w:val="003F404E"/>
    <w:rsid w:val="003F43B9"/>
    <w:rsid w:val="003F43F1"/>
    <w:rsid w:val="003F4516"/>
    <w:rsid w:val="003F4A06"/>
    <w:rsid w:val="003F4D5D"/>
    <w:rsid w:val="003F54EA"/>
    <w:rsid w:val="003F57AA"/>
    <w:rsid w:val="003F59B2"/>
    <w:rsid w:val="003F5C73"/>
    <w:rsid w:val="003F6E2C"/>
    <w:rsid w:val="003F6FB8"/>
    <w:rsid w:val="003F70B6"/>
    <w:rsid w:val="003F7277"/>
    <w:rsid w:val="003F732F"/>
    <w:rsid w:val="003F7A91"/>
    <w:rsid w:val="003F7CA5"/>
    <w:rsid w:val="003F7DF3"/>
    <w:rsid w:val="003F7F62"/>
    <w:rsid w:val="0040129D"/>
    <w:rsid w:val="004017C8"/>
    <w:rsid w:val="0040245F"/>
    <w:rsid w:val="004024E8"/>
    <w:rsid w:val="00402CEC"/>
    <w:rsid w:val="00402FA1"/>
    <w:rsid w:val="004038D3"/>
    <w:rsid w:val="00403FF7"/>
    <w:rsid w:val="00404294"/>
    <w:rsid w:val="004045BA"/>
    <w:rsid w:val="0040464D"/>
    <w:rsid w:val="0040467D"/>
    <w:rsid w:val="00405302"/>
    <w:rsid w:val="004054FF"/>
    <w:rsid w:val="00405939"/>
    <w:rsid w:val="00406478"/>
    <w:rsid w:val="0040666E"/>
    <w:rsid w:val="004066D7"/>
    <w:rsid w:val="00406D7B"/>
    <w:rsid w:val="004079DE"/>
    <w:rsid w:val="00407CAC"/>
    <w:rsid w:val="004103DF"/>
    <w:rsid w:val="004105FB"/>
    <w:rsid w:val="00410652"/>
    <w:rsid w:val="004108B5"/>
    <w:rsid w:val="004114DA"/>
    <w:rsid w:val="004117CB"/>
    <w:rsid w:val="00412DED"/>
    <w:rsid w:val="00412EC6"/>
    <w:rsid w:val="0041379E"/>
    <w:rsid w:val="004138F5"/>
    <w:rsid w:val="00414515"/>
    <w:rsid w:val="00414583"/>
    <w:rsid w:val="00415B55"/>
    <w:rsid w:val="00415B79"/>
    <w:rsid w:val="00415CCE"/>
    <w:rsid w:val="00415F01"/>
    <w:rsid w:val="00416349"/>
    <w:rsid w:val="00416A60"/>
    <w:rsid w:val="00416CED"/>
    <w:rsid w:val="00417542"/>
    <w:rsid w:val="00417875"/>
    <w:rsid w:val="004178BF"/>
    <w:rsid w:val="00417F5C"/>
    <w:rsid w:val="00420658"/>
    <w:rsid w:val="004207F1"/>
    <w:rsid w:val="00421BA8"/>
    <w:rsid w:val="00421C03"/>
    <w:rsid w:val="00421C17"/>
    <w:rsid w:val="00421C6E"/>
    <w:rsid w:val="00421C90"/>
    <w:rsid w:val="0042267F"/>
    <w:rsid w:val="004226F3"/>
    <w:rsid w:val="004229E6"/>
    <w:rsid w:val="00422CFD"/>
    <w:rsid w:val="0042303F"/>
    <w:rsid w:val="00423329"/>
    <w:rsid w:val="00423DF4"/>
    <w:rsid w:val="004240F4"/>
    <w:rsid w:val="004247FF"/>
    <w:rsid w:val="0042486F"/>
    <w:rsid w:val="00424F5B"/>
    <w:rsid w:val="004250F1"/>
    <w:rsid w:val="00425490"/>
    <w:rsid w:val="00425A57"/>
    <w:rsid w:val="004264C8"/>
    <w:rsid w:val="00426A9E"/>
    <w:rsid w:val="00426B61"/>
    <w:rsid w:val="00427113"/>
    <w:rsid w:val="00427B04"/>
    <w:rsid w:val="00427B74"/>
    <w:rsid w:val="0043010F"/>
    <w:rsid w:val="004302C2"/>
    <w:rsid w:val="0043051A"/>
    <w:rsid w:val="004307DA"/>
    <w:rsid w:val="00430870"/>
    <w:rsid w:val="00430AA0"/>
    <w:rsid w:val="00430D99"/>
    <w:rsid w:val="00431004"/>
    <w:rsid w:val="0043245C"/>
    <w:rsid w:val="004336EB"/>
    <w:rsid w:val="004336F2"/>
    <w:rsid w:val="004339CE"/>
    <w:rsid w:val="0043508E"/>
    <w:rsid w:val="00435839"/>
    <w:rsid w:val="00435988"/>
    <w:rsid w:val="00435DF2"/>
    <w:rsid w:val="004362BB"/>
    <w:rsid w:val="00436316"/>
    <w:rsid w:val="0043661C"/>
    <w:rsid w:val="004403F2"/>
    <w:rsid w:val="004404A0"/>
    <w:rsid w:val="004415C7"/>
    <w:rsid w:val="00441916"/>
    <w:rsid w:val="004419CE"/>
    <w:rsid w:val="00441FB6"/>
    <w:rsid w:val="00443593"/>
    <w:rsid w:val="0044392D"/>
    <w:rsid w:val="00443CF0"/>
    <w:rsid w:val="00444723"/>
    <w:rsid w:val="00444804"/>
    <w:rsid w:val="0044584D"/>
    <w:rsid w:val="004458A3"/>
    <w:rsid w:val="00445E65"/>
    <w:rsid w:val="004467A5"/>
    <w:rsid w:val="00446F09"/>
    <w:rsid w:val="00446F7A"/>
    <w:rsid w:val="004476F5"/>
    <w:rsid w:val="0044777E"/>
    <w:rsid w:val="00447B2B"/>
    <w:rsid w:val="004501FE"/>
    <w:rsid w:val="004504C5"/>
    <w:rsid w:val="00450582"/>
    <w:rsid w:val="00450B8F"/>
    <w:rsid w:val="00450F9E"/>
    <w:rsid w:val="00451A45"/>
    <w:rsid w:val="00451D62"/>
    <w:rsid w:val="004522FC"/>
    <w:rsid w:val="00452BAE"/>
    <w:rsid w:val="00452F65"/>
    <w:rsid w:val="00453C41"/>
    <w:rsid w:val="00454558"/>
    <w:rsid w:val="00454C0D"/>
    <w:rsid w:val="00455379"/>
    <w:rsid w:val="0045570E"/>
    <w:rsid w:val="00455FD2"/>
    <w:rsid w:val="00456152"/>
    <w:rsid w:val="0045683A"/>
    <w:rsid w:val="00460364"/>
    <w:rsid w:val="00460380"/>
    <w:rsid w:val="004605E2"/>
    <w:rsid w:val="00461276"/>
    <w:rsid w:val="00461499"/>
    <w:rsid w:val="00461B02"/>
    <w:rsid w:val="00461B0D"/>
    <w:rsid w:val="00461F5F"/>
    <w:rsid w:val="00462173"/>
    <w:rsid w:val="0046281F"/>
    <w:rsid w:val="00463326"/>
    <w:rsid w:val="0046382E"/>
    <w:rsid w:val="0046384F"/>
    <w:rsid w:val="00464744"/>
    <w:rsid w:val="00464918"/>
    <w:rsid w:val="0046514A"/>
    <w:rsid w:val="00465898"/>
    <w:rsid w:val="00465B44"/>
    <w:rsid w:val="0046676D"/>
    <w:rsid w:val="00466EBC"/>
    <w:rsid w:val="00467955"/>
    <w:rsid w:val="00467BCC"/>
    <w:rsid w:val="00467F86"/>
    <w:rsid w:val="004702F9"/>
    <w:rsid w:val="00471184"/>
    <w:rsid w:val="004717CC"/>
    <w:rsid w:val="00471C9A"/>
    <w:rsid w:val="00472119"/>
    <w:rsid w:val="00472154"/>
    <w:rsid w:val="00472AD3"/>
    <w:rsid w:val="00472D52"/>
    <w:rsid w:val="00472DDC"/>
    <w:rsid w:val="00473100"/>
    <w:rsid w:val="00473218"/>
    <w:rsid w:val="00473731"/>
    <w:rsid w:val="004739FE"/>
    <w:rsid w:val="00473FAE"/>
    <w:rsid w:val="00474068"/>
    <w:rsid w:val="00474097"/>
    <w:rsid w:val="00474A27"/>
    <w:rsid w:val="00475651"/>
    <w:rsid w:val="004756DC"/>
    <w:rsid w:val="00475F45"/>
    <w:rsid w:val="0047605F"/>
    <w:rsid w:val="004761AF"/>
    <w:rsid w:val="00476682"/>
    <w:rsid w:val="00476B29"/>
    <w:rsid w:val="00476E2D"/>
    <w:rsid w:val="00477761"/>
    <w:rsid w:val="004778C6"/>
    <w:rsid w:val="00477982"/>
    <w:rsid w:val="00477F17"/>
    <w:rsid w:val="00477F42"/>
    <w:rsid w:val="00480180"/>
    <w:rsid w:val="00481AB2"/>
    <w:rsid w:val="004820A9"/>
    <w:rsid w:val="00482A41"/>
    <w:rsid w:val="00482A9A"/>
    <w:rsid w:val="004834E4"/>
    <w:rsid w:val="00483E6B"/>
    <w:rsid w:val="00483FA6"/>
    <w:rsid w:val="004841E3"/>
    <w:rsid w:val="0048425D"/>
    <w:rsid w:val="0048481D"/>
    <w:rsid w:val="00484965"/>
    <w:rsid w:val="00485198"/>
    <w:rsid w:val="004859F0"/>
    <w:rsid w:val="00485E77"/>
    <w:rsid w:val="00485F87"/>
    <w:rsid w:val="00486126"/>
    <w:rsid w:val="00486CBE"/>
    <w:rsid w:val="00487A56"/>
    <w:rsid w:val="00487E5B"/>
    <w:rsid w:val="0049070C"/>
    <w:rsid w:val="0049095E"/>
    <w:rsid w:val="00490B50"/>
    <w:rsid w:val="00490C15"/>
    <w:rsid w:val="004914C3"/>
    <w:rsid w:val="00491591"/>
    <w:rsid w:val="004916FE"/>
    <w:rsid w:val="00491996"/>
    <w:rsid w:val="00491B5D"/>
    <w:rsid w:val="0049293B"/>
    <w:rsid w:val="0049301A"/>
    <w:rsid w:val="00494748"/>
    <w:rsid w:val="0049483F"/>
    <w:rsid w:val="00494E28"/>
    <w:rsid w:val="0049584F"/>
    <w:rsid w:val="0049589C"/>
    <w:rsid w:val="00495DA1"/>
    <w:rsid w:val="0049636E"/>
    <w:rsid w:val="004966C8"/>
    <w:rsid w:val="004969B0"/>
    <w:rsid w:val="004971D5"/>
    <w:rsid w:val="00497639"/>
    <w:rsid w:val="00497D03"/>
    <w:rsid w:val="00497F2F"/>
    <w:rsid w:val="004A08C2"/>
    <w:rsid w:val="004A0C13"/>
    <w:rsid w:val="004A1523"/>
    <w:rsid w:val="004A1534"/>
    <w:rsid w:val="004A1AD6"/>
    <w:rsid w:val="004A2ABA"/>
    <w:rsid w:val="004A2D4F"/>
    <w:rsid w:val="004A3183"/>
    <w:rsid w:val="004A336F"/>
    <w:rsid w:val="004A38ED"/>
    <w:rsid w:val="004A4534"/>
    <w:rsid w:val="004A4806"/>
    <w:rsid w:val="004A4BC7"/>
    <w:rsid w:val="004A4C02"/>
    <w:rsid w:val="004A4F0D"/>
    <w:rsid w:val="004A4FB2"/>
    <w:rsid w:val="004A5F14"/>
    <w:rsid w:val="004A669B"/>
    <w:rsid w:val="004A6DAB"/>
    <w:rsid w:val="004A735F"/>
    <w:rsid w:val="004B0338"/>
    <w:rsid w:val="004B09D9"/>
    <w:rsid w:val="004B0ECB"/>
    <w:rsid w:val="004B1B71"/>
    <w:rsid w:val="004B1E38"/>
    <w:rsid w:val="004B1F27"/>
    <w:rsid w:val="004B29D1"/>
    <w:rsid w:val="004B3160"/>
    <w:rsid w:val="004B3179"/>
    <w:rsid w:val="004B4454"/>
    <w:rsid w:val="004B4D4F"/>
    <w:rsid w:val="004B55EB"/>
    <w:rsid w:val="004B576F"/>
    <w:rsid w:val="004B57F4"/>
    <w:rsid w:val="004B5FB6"/>
    <w:rsid w:val="004B5FCC"/>
    <w:rsid w:val="004B6E02"/>
    <w:rsid w:val="004C0055"/>
    <w:rsid w:val="004C0B3E"/>
    <w:rsid w:val="004C0CAC"/>
    <w:rsid w:val="004C16B1"/>
    <w:rsid w:val="004C20BB"/>
    <w:rsid w:val="004C3305"/>
    <w:rsid w:val="004C3799"/>
    <w:rsid w:val="004C3A03"/>
    <w:rsid w:val="004C3CE1"/>
    <w:rsid w:val="004C3EF8"/>
    <w:rsid w:val="004C418E"/>
    <w:rsid w:val="004C44F1"/>
    <w:rsid w:val="004C4639"/>
    <w:rsid w:val="004C4699"/>
    <w:rsid w:val="004C479E"/>
    <w:rsid w:val="004C5D5C"/>
    <w:rsid w:val="004C6808"/>
    <w:rsid w:val="004C6AE1"/>
    <w:rsid w:val="004C6B9C"/>
    <w:rsid w:val="004C6BCE"/>
    <w:rsid w:val="004C6E09"/>
    <w:rsid w:val="004C7194"/>
    <w:rsid w:val="004C75F6"/>
    <w:rsid w:val="004C79BE"/>
    <w:rsid w:val="004C7E57"/>
    <w:rsid w:val="004D06BD"/>
    <w:rsid w:val="004D09E6"/>
    <w:rsid w:val="004D0A7E"/>
    <w:rsid w:val="004D13D4"/>
    <w:rsid w:val="004D1620"/>
    <w:rsid w:val="004D1679"/>
    <w:rsid w:val="004D1761"/>
    <w:rsid w:val="004D1C16"/>
    <w:rsid w:val="004D1D9D"/>
    <w:rsid w:val="004D2263"/>
    <w:rsid w:val="004D235D"/>
    <w:rsid w:val="004D273B"/>
    <w:rsid w:val="004D2748"/>
    <w:rsid w:val="004D27B0"/>
    <w:rsid w:val="004D2C92"/>
    <w:rsid w:val="004D2DBC"/>
    <w:rsid w:val="004D3015"/>
    <w:rsid w:val="004D3E4B"/>
    <w:rsid w:val="004D4172"/>
    <w:rsid w:val="004D42D9"/>
    <w:rsid w:val="004D4826"/>
    <w:rsid w:val="004D509A"/>
    <w:rsid w:val="004D512E"/>
    <w:rsid w:val="004D5447"/>
    <w:rsid w:val="004D579A"/>
    <w:rsid w:val="004D5C38"/>
    <w:rsid w:val="004D5C71"/>
    <w:rsid w:val="004D608A"/>
    <w:rsid w:val="004D66EF"/>
    <w:rsid w:val="004D6C46"/>
    <w:rsid w:val="004D7103"/>
    <w:rsid w:val="004D75BB"/>
    <w:rsid w:val="004D7F42"/>
    <w:rsid w:val="004D7F5A"/>
    <w:rsid w:val="004E03CB"/>
    <w:rsid w:val="004E1089"/>
    <w:rsid w:val="004E2762"/>
    <w:rsid w:val="004E35D0"/>
    <w:rsid w:val="004E3F43"/>
    <w:rsid w:val="004E42D8"/>
    <w:rsid w:val="004E435A"/>
    <w:rsid w:val="004E43BF"/>
    <w:rsid w:val="004E4EC0"/>
    <w:rsid w:val="004E5563"/>
    <w:rsid w:val="004E58AE"/>
    <w:rsid w:val="004E5A82"/>
    <w:rsid w:val="004E5DB5"/>
    <w:rsid w:val="004E5E7A"/>
    <w:rsid w:val="004E626A"/>
    <w:rsid w:val="004E684A"/>
    <w:rsid w:val="004E6FD3"/>
    <w:rsid w:val="004F019F"/>
    <w:rsid w:val="004F06BE"/>
    <w:rsid w:val="004F07F4"/>
    <w:rsid w:val="004F0939"/>
    <w:rsid w:val="004F0B08"/>
    <w:rsid w:val="004F0DFA"/>
    <w:rsid w:val="004F11BA"/>
    <w:rsid w:val="004F1235"/>
    <w:rsid w:val="004F14F1"/>
    <w:rsid w:val="004F1797"/>
    <w:rsid w:val="004F1850"/>
    <w:rsid w:val="004F2093"/>
    <w:rsid w:val="004F2305"/>
    <w:rsid w:val="004F2921"/>
    <w:rsid w:val="004F29BF"/>
    <w:rsid w:val="004F2F05"/>
    <w:rsid w:val="004F2F76"/>
    <w:rsid w:val="004F2F92"/>
    <w:rsid w:val="004F38EE"/>
    <w:rsid w:val="004F3FCB"/>
    <w:rsid w:val="004F43AE"/>
    <w:rsid w:val="004F4E52"/>
    <w:rsid w:val="004F538C"/>
    <w:rsid w:val="004F6355"/>
    <w:rsid w:val="004F637E"/>
    <w:rsid w:val="004F762B"/>
    <w:rsid w:val="004F788D"/>
    <w:rsid w:val="0050064C"/>
    <w:rsid w:val="005008A6"/>
    <w:rsid w:val="00500EEA"/>
    <w:rsid w:val="00500EF1"/>
    <w:rsid w:val="00501133"/>
    <w:rsid w:val="00501237"/>
    <w:rsid w:val="00502582"/>
    <w:rsid w:val="00502D2F"/>
    <w:rsid w:val="00503000"/>
    <w:rsid w:val="00503083"/>
    <w:rsid w:val="00503217"/>
    <w:rsid w:val="00503322"/>
    <w:rsid w:val="00504118"/>
    <w:rsid w:val="00504474"/>
    <w:rsid w:val="00504643"/>
    <w:rsid w:val="00504971"/>
    <w:rsid w:val="00504ADB"/>
    <w:rsid w:val="0050572C"/>
    <w:rsid w:val="00505FBB"/>
    <w:rsid w:val="005067A9"/>
    <w:rsid w:val="00506ABB"/>
    <w:rsid w:val="00506B1B"/>
    <w:rsid w:val="00506C0A"/>
    <w:rsid w:val="0050753C"/>
    <w:rsid w:val="0050799C"/>
    <w:rsid w:val="005107E1"/>
    <w:rsid w:val="005110E3"/>
    <w:rsid w:val="00511272"/>
    <w:rsid w:val="0051128D"/>
    <w:rsid w:val="0051131B"/>
    <w:rsid w:val="00511494"/>
    <w:rsid w:val="00511F84"/>
    <w:rsid w:val="00512114"/>
    <w:rsid w:val="00513185"/>
    <w:rsid w:val="005131F5"/>
    <w:rsid w:val="0051320E"/>
    <w:rsid w:val="0051344A"/>
    <w:rsid w:val="00513982"/>
    <w:rsid w:val="00514102"/>
    <w:rsid w:val="00514923"/>
    <w:rsid w:val="00514C9D"/>
    <w:rsid w:val="0051532C"/>
    <w:rsid w:val="005157AE"/>
    <w:rsid w:val="00515C86"/>
    <w:rsid w:val="00515D38"/>
    <w:rsid w:val="005171F8"/>
    <w:rsid w:val="005172C3"/>
    <w:rsid w:val="00517560"/>
    <w:rsid w:val="005175B7"/>
    <w:rsid w:val="00517A33"/>
    <w:rsid w:val="00517FFA"/>
    <w:rsid w:val="00520096"/>
    <w:rsid w:val="00521121"/>
    <w:rsid w:val="005219B5"/>
    <w:rsid w:val="00521F75"/>
    <w:rsid w:val="00522C59"/>
    <w:rsid w:val="005233D2"/>
    <w:rsid w:val="00523462"/>
    <w:rsid w:val="005236C5"/>
    <w:rsid w:val="0052433D"/>
    <w:rsid w:val="00524758"/>
    <w:rsid w:val="005248F1"/>
    <w:rsid w:val="0052499C"/>
    <w:rsid w:val="005249B3"/>
    <w:rsid w:val="00525679"/>
    <w:rsid w:val="00526BCC"/>
    <w:rsid w:val="00526BDF"/>
    <w:rsid w:val="00526E72"/>
    <w:rsid w:val="00530D56"/>
    <w:rsid w:val="00530F5C"/>
    <w:rsid w:val="005314D2"/>
    <w:rsid w:val="00531EFE"/>
    <w:rsid w:val="00532167"/>
    <w:rsid w:val="00532A75"/>
    <w:rsid w:val="00533305"/>
    <w:rsid w:val="00533820"/>
    <w:rsid w:val="00533EEE"/>
    <w:rsid w:val="0053406E"/>
    <w:rsid w:val="00534201"/>
    <w:rsid w:val="00534680"/>
    <w:rsid w:val="005348E6"/>
    <w:rsid w:val="005350F1"/>
    <w:rsid w:val="005354D5"/>
    <w:rsid w:val="00535529"/>
    <w:rsid w:val="00535D4F"/>
    <w:rsid w:val="00535FED"/>
    <w:rsid w:val="00536036"/>
    <w:rsid w:val="0053637D"/>
    <w:rsid w:val="00536C9F"/>
    <w:rsid w:val="00536E6C"/>
    <w:rsid w:val="00537213"/>
    <w:rsid w:val="0053772B"/>
    <w:rsid w:val="00537DE9"/>
    <w:rsid w:val="0054034E"/>
    <w:rsid w:val="00540BC8"/>
    <w:rsid w:val="00541A32"/>
    <w:rsid w:val="0054204A"/>
    <w:rsid w:val="00542AC6"/>
    <w:rsid w:val="00543037"/>
    <w:rsid w:val="0054326B"/>
    <w:rsid w:val="005433E2"/>
    <w:rsid w:val="005436DC"/>
    <w:rsid w:val="00543C79"/>
    <w:rsid w:val="00544A84"/>
    <w:rsid w:val="00544D38"/>
    <w:rsid w:val="00544E2D"/>
    <w:rsid w:val="00544F30"/>
    <w:rsid w:val="00545591"/>
    <w:rsid w:val="00545B96"/>
    <w:rsid w:val="0054656A"/>
    <w:rsid w:val="0054746D"/>
    <w:rsid w:val="00547496"/>
    <w:rsid w:val="0054761C"/>
    <w:rsid w:val="00550946"/>
    <w:rsid w:val="0055118F"/>
    <w:rsid w:val="005515A9"/>
    <w:rsid w:val="005516AF"/>
    <w:rsid w:val="00551AB2"/>
    <w:rsid w:val="005529A1"/>
    <w:rsid w:val="005529E3"/>
    <w:rsid w:val="00552A43"/>
    <w:rsid w:val="00552C52"/>
    <w:rsid w:val="00553468"/>
    <w:rsid w:val="00553E94"/>
    <w:rsid w:val="00554118"/>
    <w:rsid w:val="005542E7"/>
    <w:rsid w:val="00554A0F"/>
    <w:rsid w:val="00554E9E"/>
    <w:rsid w:val="00554EC7"/>
    <w:rsid w:val="0055510E"/>
    <w:rsid w:val="00555947"/>
    <w:rsid w:val="0055621C"/>
    <w:rsid w:val="00556ECC"/>
    <w:rsid w:val="00557245"/>
    <w:rsid w:val="0055776C"/>
    <w:rsid w:val="00557D44"/>
    <w:rsid w:val="00560159"/>
    <w:rsid w:val="00560412"/>
    <w:rsid w:val="005607CA"/>
    <w:rsid w:val="00561662"/>
    <w:rsid w:val="00561875"/>
    <w:rsid w:val="00561A69"/>
    <w:rsid w:val="0056338F"/>
    <w:rsid w:val="00563440"/>
    <w:rsid w:val="00563601"/>
    <w:rsid w:val="00563B0A"/>
    <w:rsid w:val="00563E5A"/>
    <w:rsid w:val="0056482A"/>
    <w:rsid w:val="00564ECF"/>
    <w:rsid w:val="0056536B"/>
    <w:rsid w:val="00565774"/>
    <w:rsid w:val="00565827"/>
    <w:rsid w:val="00565D87"/>
    <w:rsid w:val="00565DBB"/>
    <w:rsid w:val="005661E0"/>
    <w:rsid w:val="00566CE7"/>
    <w:rsid w:val="00566D6E"/>
    <w:rsid w:val="00566F90"/>
    <w:rsid w:val="005674CD"/>
    <w:rsid w:val="005700EC"/>
    <w:rsid w:val="005701A2"/>
    <w:rsid w:val="00570519"/>
    <w:rsid w:val="0057172D"/>
    <w:rsid w:val="00571BA4"/>
    <w:rsid w:val="00572799"/>
    <w:rsid w:val="00572944"/>
    <w:rsid w:val="005733A9"/>
    <w:rsid w:val="00573E90"/>
    <w:rsid w:val="00573F70"/>
    <w:rsid w:val="00574186"/>
    <w:rsid w:val="0057437D"/>
    <w:rsid w:val="00574879"/>
    <w:rsid w:val="00574F29"/>
    <w:rsid w:val="00575ABA"/>
    <w:rsid w:val="005803B3"/>
    <w:rsid w:val="00580F29"/>
    <w:rsid w:val="0058125A"/>
    <w:rsid w:val="00581FA4"/>
    <w:rsid w:val="00581FC2"/>
    <w:rsid w:val="005829AD"/>
    <w:rsid w:val="00582A8B"/>
    <w:rsid w:val="00583152"/>
    <w:rsid w:val="0058361D"/>
    <w:rsid w:val="005839D1"/>
    <w:rsid w:val="00583E26"/>
    <w:rsid w:val="00583F29"/>
    <w:rsid w:val="00584016"/>
    <w:rsid w:val="00584565"/>
    <w:rsid w:val="00585261"/>
    <w:rsid w:val="00585362"/>
    <w:rsid w:val="00585764"/>
    <w:rsid w:val="00585E09"/>
    <w:rsid w:val="00585EE0"/>
    <w:rsid w:val="00586001"/>
    <w:rsid w:val="00586556"/>
    <w:rsid w:val="00587241"/>
    <w:rsid w:val="00587539"/>
    <w:rsid w:val="00587B87"/>
    <w:rsid w:val="00587EF9"/>
    <w:rsid w:val="00587FAE"/>
    <w:rsid w:val="0059067F"/>
    <w:rsid w:val="005912BF"/>
    <w:rsid w:val="00591603"/>
    <w:rsid w:val="005919D8"/>
    <w:rsid w:val="0059335B"/>
    <w:rsid w:val="00593B01"/>
    <w:rsid w:val="00593B48"/>
    <w:rsid w:val="00593D0C"/>
    <w:rsid w:val="0059447F"/>
    <w:rsid w:val="00594821"/>
    <w:rsid w:val="00594A90"/>
    <w:rsid w:val="00594C0B"/>
    <w:rsid w:val="00595209"/>
    <w:rsid w:val="00595244"/>
    <w:rsid w:val="0059529E"/>
    <w:rsid w:val="005958D7"/>
    <w:rsid w:val="00596A9D"/>
    <w:rsid w:val="00596D7F"/>
    <w:rsid w:val="0059787A"/>
    <w:rsid w:val="005A06B4"/>
    <w:rsid w:val="005A08B6"/>
    <w:rsid w:val="005A0C37"/>
    <w:rsid w:val="005A0C53"/>
    <w:rsid w:val="005A0CA1"/>
    <w:rsid w:val="005A1C52"/>
    <w:rsid w:val="005A1C94"/>
    <w:rsid w:val="005A23A6"/>
    <w:rsid w:val="005A2505"/>
    <w:rsid w:val="005A26B5"/>
    <w:rsid w:val="005A2B22"/>
    <w:rsid w:val="005A2DA3"/>
    <w:rsid w:val="005A4091"/>
    <w:rsid w:val="005A4414"/>
    <w:rsid w:val="005A4897"/>
    <w:rsid w:val="005A4BA3"/>
    <w:rsid w:val="005A4BAE"/>
    <w:rsid w:val="005A5370"/>
    <w:rsid w:val="005A58D4"/>
    <w:rsid w:val="005A6869"/>
    <w:rsid w:val="005A6AC6"/>
    <w:rsid w:val="005A6D51"/>
    <w:rsid w:val="005A6FB6"/>
    <w:rsid w:val="005A74AB"/>
    <w:rsid w:val="005A76B6"/>
    <w:rsid w:val="005A7C2B"/>
    <w:rsid w:val="005A7F8E"/>
    <w:rsid w:val="005B05FB"/>
    <w:rsid w:val="005B064C"/>
    <w:rsid w:val="005B0DFF"/>
    <w:rsid w:val="005B13C0"/>
    <w:rsid w:val="005B14E9"/>
    <w:rsid w:val="005B1AE5"/>
    <w:rsid w:val="005B264D"/>
    <w:rsid w:val="005B2E74"/>
    <w:rsid w:val="005B3088"/>
    <w:rsid w:val="005B472E"/>
    <w:rsid w:val="005B48F1"/>
    <w:rsid w:val="005B5D1D"/>
    <w:rsid w:val="005B5DDF"/>
    <w:rsid w:val="005B616C"/>
    <w:rsid w:val="005B6375"/>
    <w:rsid w:val="005B6ADA"/>
    <w:rsid w:val="005B6E72"/>
    <w:rsid w:val="005B75F3"/>
    <w:rsid w:val="005B7C2A"/>
    <w:rsid w:val="005B7E3E"/>
    <w:rsid w:val="005C01F8"/>
    <w:rsid w:val="005C05B0"/>
    <w:rsid w:val="005C08CF"/>
    <w:rsid w:val="005C0AE3"/>
    <w:rsid w:val="005C10EA"/>
    <w:rsid w:val="005C1308"/>
    <w:rsid w:val="005C18CA"/>
    <w:rsid w:val="005C1A65"/>
    <w:rsid w:val="005C2671"/>
    <w:rsid w:val="005C2BC6"/>
    <w:rsid w:val="005C2C31"/>
    <w:rsid w:val="005C2D42"/>
    <w:rsid w:val="005C326D"/>
    <w:rsid w:val="005C3460"/>
    <w:rsid w:val="005C4056"/>
    <w:rsid w:val="005C4E0B"/>
    <w:rsid w:val="005C5989"/>
    <w:rsid w:val="005C5DF0"/>
    <w:rsid w:val="005C5E3F"/>
    <w:rsid w:val="005C5E9B"/>
    <w:rsid w:val="005C6419"/>
    <w:rsid w:val="005C67EF"/>
    <w:rsid w:val="005C7BF9"/>
    <w:rsid w:val="005C7C2F"/>
    <w:rsid w:val="005D0830"/>
    <w:rsid w:val="005D0DA2"/>
    <w:rsid w:val="005D1739"/>
    <w:rsid w:val="005D183C"/>
    <w:rsid w:val="005D22A0"/>
    <w:rsid w:val="005D2793"/>
    <w:rsid w:val="005D2E77"/>
    <w:rsid w:val="005D2F7C"/>
    <w:rsid w:val="005D3299"/>
    <w:rsid w:val="005D3528"/>
    <w:rsid w:val="005D37DD"/>
    <w:rsid w:val="005D3D14"/>
    <w:rsid w:val="005D475F"/>
    <w:rsid w:val="005D49A8"/>
    <w:rsid w:val="005D4C9B"/>
    <w:rsid w:val="005D52D8"/>
    <w:rsid w:val="005D58B4"/>
    <w:rsid w:val="005D5C4B"/>
    <w:rsid w:val="005D5DD5"/>
    <w:rsid w:val="005D61C9"/>
    <w:rsid w:val="005D6270"/>
    <w:rsid w:val="005D69CC"/>
    <w:rsid w:val="005D6F60"/>
    <w:rsid w:val="005D6FF5"/>
    <w:rsid w:val="005D70B8"/>
    <w:rsid w:val="005E008E"/>
    <w:rsid w:val="005E00D0"/>
    <w:rsid w:val="005E057F"/>
    <w:rsid w:val="005E1195"/>
    <w:rsid w:val="005E167E"/>
    <w:rsid w:val="005E183B"/>
    <w:rsid w:val="005E1A91"/>
    <w:rsid w:val="005E1AC4"/>
    <w:rsid w:val="005E1B1D"/>
    <w:rsid w:val="005E1F6C"/>
    <w:rsid w:val="005E24D1"/>
    <w:rsid w:val="005E29A5"/>
    <w:rsid w:val="005E359B"/>
    <w:rsid w:val="005E3AB0"/>
    <w:rsid w:val="005E3F9E"/>
    <w:rsid w:val="005E41AC"/>
    <w:rsid w:val="005E4387"/>
    <w:rsid w:val="005E46BB"/>
    <w:rsid w:val="005E49F5"/>
    <w:rsid w:val="005E4BE3"/>
    <w:rsid w:val="005E5392"/>
    <w:rsid w:val="005E548E"/>
    <w:rsid w:val="005E5662"/>
    <w:rsid w:val="005E56A0"/>
    <w:rsid w:val="005E58FA"/>
    <w:rsid w:val="005E5F3C"/>
    <w:rsid w:val="005E682D"/>
    <w:rsid w:val="005E6EA6"/>
    <w:rsid w:val="005E6F18"/>
    <w:rsid w:val="005E704B"/>
    <w:rsid w:val="005E704E"/>
    <w:rsid w:val="005E7092"/>
    <w:rsid w:val="005E7825"/>
    <w:rsid w:val="005E7BB0"/>
    <w:rsid w:val="005E7FE0"/>
    <w:rsid w:val="005F0948"/>
    <w:rsid w:val="005F2009"/>
    <w:rsid w:val="005F26BA"/>
    <w:rsid w:val="005F2CF4"/>
    <w:rsid w:val="005F3058"/>
    <w:rsid w:val="005F3394"/>
    <w:rsid w:val="005F3481"/>
    <w:rsid w:val="005F4163"/>
    <w:rsid w:val="005F4FC7"/>
    <w:rsid w:val="005F5061"/>
    <w:rsid w:val="005F5573"/>
    <w:rsid w:val="005F565E"/>
    <w:rsid w:val="005F5B4D"/>
    <w:rsid w:val="005F5C50"/>
    <w:rsid w:val="005F5FB0"/>
    <w:rsid w:val="005F6127"/>
    <w:rsid w:val="005F665A"/>
    <w:rsid w:val="005F66DB"/>
    <w:rsid w:val="005F69F3"/>
    <w:rsid w:val="005F7372"/>
    <w:rsid w:val="005F7BD0"/>
    <w:rsid w:val="005F7C10"/>
    <w:rsid w:val="005F7CF1"/>
    <w:rsid w:val="0060019B"/>
    <w:rsid w:val="00600558"/>
    <w:rsid w:val="0060164E"/>
    <w:rsid w:val="0060190E"/>
    <w:rsid w:val="00601BD9"/>
    <w:rsid w:val="00601BED"/>
    <w:rsid w:val="00601C9F"/>
    <w:rsid w:val="006025BA"/>
    <w:rsid w:val="00602E3C"/>
    <w:rsid w:val="00602F27"/>
    <w:rsid w:val="00603105"/>
    <w:rsid w:val="006031EB"/>
    <w:rsid w:val="006032E9"/>
    <w:rsid w:val="00603657"/>
    <w:rsid w:val="006036C2"/>
    <w:rsid w:val="00603AD5"/>
    <w:rsid w:val="00603C5A"/>
    <w:rsid w:val="00603CC1"/>
    <w:rsid w:val="00603DC0"/>
    <w:rsid w:val="0060417C"/>
    <w:rsid w:val="0060443A"/>
    <w:rsid w:val="0060443F"/>
    <w:rsid w:val="00604AE6"/>
    <w:rsid w:val="00604AFD"/>
    <w:rsid w:val="00604DCE"/>
    <w:rsid w:val="00605181"/>
    <w:rsid w:val="00605FBB"/>
    <w:rsid w:val="00606EA4"/>
    <w:rsid w:val="006074E0"/>
    <w:rsid w:val="006078D7"/>
    <w:rsid w:val="00607DA2"/>
    <w:rsid w:val="00607E2E"/>
    <w:rsid w:val="00610598"/>
    <w:rsid w:val="006106D9"/>
    <w:rsid w:val="00610ECF"/>
    <w:rsid w:val="00611246"/>
    <w:rsid w:val="00611820"/>
    <w:rsid w:val="00611952"/>
    <w:rsid w:val="00612108"/>
    <w:rsid w:val="0061453A"/>
    <w:rsid w:val="00614E10"/>
    <w:rsid w:val="00615741"/>
    <w:rsid w:val="006160A3"/>
    <w:rsid w:val="0061617A"/>
    <w:rsid w:val="0061617E"/>
    <w:rsid w:val="006161A8"/>
    <w:rsid w:val="00616791"/>
    <w:rsid w:val="00616D48"/>
    <w:rsid w:val="006173B7"/>
    <w:rsid w:val="00617E1A"/>
    <w:rsid w:val="00617EFA"/>
    <w:rsid w:val="00620ACD"/>
    <w:rsid w:val="00620B89"/>
    <w:rsid w:val="00620ED4"/>
    <w:rsid w:val="00621AD3"/>
    <w:rsid w:val="00621C33"/>
    <w:rsid w:val="00622342"/>
    <w:rsid w:val="006225C6"/>
    <w:rsid w:val="00623C0A"/>
    <w:rsid w:val="00623D0C"/>
    <w:rsid w:val="00623FD0"/>
    <w:rsid w:val="0062428B"/>
    <w:rsid w:val="006243D9"/>
    <w:rsid w:val="006245CE"/>
    <w:rsid w:val="0062519B"/>
    <w:rsid w:val="0062584C"/>
    <w:rsid w:val="00625871"/>
    <w:rsid w:val="00625B6F"/>
    <w:rsid w:val="00625DF4"/>
    <w:rsid w:val="006261CE"/>
    <w:rsid w:val="00626408"/>
    <w:rsid w:val="0062670C"/>
    <w:rsid w:val="0062713D"/>
    <w:rsid w:val="00630CD3"/>
    <w:rsid w:val="00630CD4"/>
    <w:rsid w:val="006317BF"/>
    <w:rsid w:val="00631994"/>
    <w:rsid w:val="00632527"/>
    <w:rsid w:val="0063257F"/>
    <w:rsid w:val="0063264F"/>
    <w:rsid w:val="00632D10"/>
    <w:rsid w:val="0063336B"/>
    <w:rsid w:val="0063372B"/>
    <w:rsid w:val="00633776"/>
    <w:rsid w:val="006337B3"/>
    <w:rsid w:val="00634EE9"/>
    <w:rsid w:val="00634FD6"/>
    <w:rsid w:val="00635672"/>
    <w:rsid w:val="00635E29"/>
    <w:rsid w:val="00636320"/>
    <w:rsid w:val="006366C7"/>
    <w:rsid w:val="0063713E"/>
    <w:rsid w:val="0063745F"/>
    <w:rsid w:val="00637898"/>
    <w:rsid w:val="006379BF"/>
    <w:rsid w:val="0064039A"/>
    <w:rsid w:val="00640B21"/>
    <w:rsid w:val="0064109C"/>
    <w:rsid w:val="006413E2"/>
    <w:rsid w:val="00641857"/>
    <w:rsid w:val="00641B66"/>
    <w:rsid w:val="00641EF0"/>
    <w:rsid w:val="00642ABC"/>
    <w:rsid w:val="00642C2A"/>
    <w:rsid w:val="00642D4D"/>
    <w:rsid w:val="006432DB"/>
    <w:rsid w:val="006433AC"/>
    <w:rsid w:val="00643713"/>
    <w:rsid w:val="0064468C"/>
    <w:rsid w:val="00644905"/>
    <w:rsid w:val="00644ACA"/>
    <w:rsid w:val="00645480"/>
    <w:rsid w:val="00645C7A"/>
    <w:rsid w:val="00645CD4"/>
    <w:rsid w:val="00645EC1"/>
    <w:rsid w:val="00645EF6"/>
    <w:rsid w:val="00646BA7"/>
    <w:rsid w:val="00646CD6"/>
    <w:rsid w:val="00646D58"/>
    <w:rsid w:val="00646DA9"/>
    <w:rsid w:val="00647F9D"/>
    <w:rsid w:val="00650054"/>
    <w:rsid w:val="0065023E"/>
    <w:rsid w:val="00651657"/>
    <w:rsid w:val="00652A83"/>
    <w:rsid w:val="00652CA7"/>
    <w:rsid w:val="00652E94"/>
    <w:rsid w:val="00653429"/>
    <w:rsid w:val="006535A6"/>
    <w:rsid w:val="00653F0A"/>
    <w:rsid w:val="00654EB0"/>
    <w:rsid w:val="00654F06"/>
    <w:rsid w:val="00655008"/>
    <w:rsid w:val="00655977"/>
    <w:rsid w:val="00655CA1"/>
    <w:rsid w:val="00655FB6"/>
    <w:rsid w:val="00656B3F"/>
    <w:rsid w:val="0065717D"/>
    <w:rsid w:val="00657687"/>
    <w:rsid w:val="006609F4"/>
    <w:rsid w:val="00660D0D"/>
    <w:rsid w:val="00661877"/>
    <w:rsid w:val="0066233B"/>
    <w:rsid w:val="00662DAD"/>
    <w:rsid w:val="00664821"/>
    <w:rsid w:val="00664BF1"/>
    <w:rsid w:val="0066531A"/>
    <w:rsid w:val="00665463"/>
    <w:rsid w:val="00665530"/>
    <w:rsid w:val="006656E7"/>
    <w:rsid w:val="00665A3E"/>
    <w:rsid w:val="00665BDB"/>
    <w:rsid w:val="006660B2"/>
    <w:rsid w:val="00666533"/>
    <w:rsid w:val="00666E25"/>
    <w:rsid w:val="00666EC3"/>
    <w:rsid w:val="00667104"/>
    <w:rsid w:val="00667308"/>
    <w:rsid w:val="006676A9"/>
    <w:rsid w:val="006677BC"/>
    <w:rsid w:val="00670426"/>
    <w:rsid w:val="00671333"/>
    <w:rsid w:val="006724F2"/>
    <w:rsid w:val="00672A03"/>
    <w:rsid w:val="00672ECD"/>
    <w:rsid w:val="0067495C"/>
    <w:rsid w:val="006749D2"/>
    <w:rsid w:val="006752C4"/>
    <w:rsid w:val="00675392"/>
    <w:rsid w:val="00675A44"/>
    <w:rsid w:val="00676F74"/>
    <w:rsid w:val="00677A35"/>
    <w:rsid w:val="00677A4B"/>
    <w:rsid w:val="00677CE0"/>
    <w:rsid w:val="006801D0"/>
    <w:rsid w:val="00680788"/>
    <w:rsid w:val="00680C69"/>
    <w:rsid w:val="00681A95"/>
    <w:rsid w:val="00682755"/>
    <w:rsid w:val="00682F26"/>
    <w:rsid w:val="0068361C"/>
    <w:rsid w:val="006837C5"/>
    <w:rsid w:val="006845A0"/>
    <w:rsid w:val="00684A8B"/>
    <w:rsid w:val="00684DA4"/>
    <w:rsid w:val="00684F16"/>
    <w:rsid w:val="006854FB"/>
    <w:rsid w:val="0068552C"/>
    <w:rsid w:val="00685859"/>
    <w:rsid w:val="0068588D"/>
    <w:rsid w:val="00685ACE"/>
    <w:rsid w:val="00685B6B"/>
    <w:rsid w:val="006862A7"/>
    <w:rsid w:val="00687586"/>
    <w:rsid w:val="00687DC7"/>
    <w:rsid w:val="0069076F"/>
    <w:rsid w:val="00690925"/>
    <w:rsid w:val="00690C04"/>
    <w:rsid w:val="00690E3F"/>
    <w:rsid w:val="00691447"/>
    <w:rsid w:val="00691701"/>
    <w:rsid w:val="006918B6"/>
    <w:rsid w:val="00691ADF"/>
    <w:rsid w:val="0069317B"/>
    <w:rsid w:val="006931D5"/>
    <w:rsid w:val="00693248"/>
    <w:rsid w:val="00693252"/>
    <w:rsid w:val="0069353C"/>
    <w:rsid w:val="006943F3"/>
    <w:rsid w:val="006944B6"/>
    <w:rsid w:val="006948E0"/>
    <w:rsid w:val="00694C63"/>
    <w:rsid w:val="00694DCD"/>
    <w:rsid w:val="00694EA1"/>
    <w:rsid w:val="00695505"/>
    <w:rsid w:val="006965FF"/>
    <w:rsid w:val="006975E2"/>
    <w:rsid w:val="00697CC8"/>
    <w:rsid w:val="006A0103"/>
    <w:rsid w:val="006A015F"/>
    <w:rsid w:val="006A0218"/>
    <w:rsid w:val="006A0590"/>
    <w:rsid w:val="006A087C"/>
    <w:rsid w:val="006A09F1"/>
    <w:rsid w:val="006A134C"/>
    <w:rsid w:val="006A1417"/>
    <w:rsid w:val="006A1A55"/>
    <w:rsid w:val="006A23F6"/>
    <w:rsid w:val="006A2978"/>
    <w:rsid w:val="006A299D"/>
    <w:rsid w:val="006A2C34"/>
    <w:rsid w:val="006A2CE6"/>
    <w:rsid w:val="006A2D79"/>
    <w:rsid w:val="006A2E91"/>
    <w:rsid w:val="006A42AC"/>
    <w:rsid w:val="006A4D15"/>
    <w:rsid w:val="006A523D"/>
    <w:rsid w:val="006A5603"/>
    <w:rsid w:val="006A5859"/>
    <w:rsid w:val="006A58DC"/>
    <w:rsid w:val="006A66A7"/>
    <w:rsid w:val="006A6766"/>
    <w:rsid w:val="006A7D06"/>
    <w:rsid w:val="006A7DC5"/>
    <w:rsid w:val="006A7ECF"/>
    <w:rsid w:val="006A7F3B"/>
    <w:rsid w:val="006A7FDC"/>
    <w:rsid w:val="006B0208"/>
    <w:rsid w:val="006B08BC"/>
    <w:rsid w:val="006B138B"/>
    <w:rsid w:val="006B1703"/>
    <w:rsid w:val="006B261B"/>
    <w:rsid w:val="006B28F9"/>
    <w:rsid w:val="006B3A2F"/>
    <w:rsid w:val="006B3BF2"/>
    <w:rsid w:val="006B4B10"/>
    <w:rsid w:val="006B4D31"/>
    <w:rsid w:val="006B5517"/>
    <w:rsid w:val="006B5705"/>
    <w:rsid w:val="006B6395"/>
    <w:rsid w:val="006B66B7"/>
    <w:rsid w:val="006B6E9B"/>
    <w:rsid w:val="006B7031"/>
    <w:rsid w:val="006B74C8"/>
    <w:rsid w:val="006B7A34"/>
    <w:rsid w:val="006B7DAE"/>
    <w:rsid w:val="006B7E0B"/>
    <w:rsid w:val="006B7E45"/>
    <w:rsid w:val="006B7EA3"/>
    <w:rsid w:val="006C069D"/>
    <w:rsid w:val="006C0722"/>
    <w:rsid w:val="006C0B77"/>
    <w:rsid w:val="006C0BB6"/>
    <w:rsid w:val="006C0BEC"/>
    <w:rsid w:val="006C1D6A"/>
    <w:rsid w:val="006C1FFD"/>
    <w:rsid w:val="006C3299"/>
    <w:rsid w:val="006C3A3B"/>
    <w:rsid w:val="006C442D"/>
    <w:rsid w:val="006C47D5"/>
    <w:rsid w:val="006C5057"/>
    <w:rsid w:val="006C5296"/>
    <w:rsid w:val="006C5688"/>
    <w:rsid w:val="006C621D"/>
    <w:rsid w:val="006C6C11"/>
    <w:rsid w:val="006C6CE5"/>
    <w:rsid w:val="006C6E01"/>
    <w:rsid w:val="006C6EC3"/>
    <w:rsid w:val="006C71AF"/>
    <w:rsid w:val="006C71B8"/>
    <w:rsid w:val="006C71F9"/>
    <w:rsid w:val="006C7351"/>
    <w:rsid w:val="006D040C"/>
    <w:rsid w:val="006D06EF"/>
    <w:rsid w:val="006D210D"/>
    <w:rsid w:val="006D2EBD"/>
    <w:rsid w:val="006D312A"/>
    <w:rsid w:val="006D396C"/>
    <w:rsid w:val="006D3C10"/>
    <w:rsid w:val="006D44A4"/>
    <w:rsid w:val="006D53D1"/>
    <w:rsid w:val="006D5625"/>
    <w:rsid w:val="006D5651"/>
    <w:rsid w:val="006D609B"/>
    <w:rsid w:val="006D634F"/>
    <w:rsid w:val="006D63E9"/>
    <w:rsid w:val="006D6510"/>
    <w:rsid w:val="006D7643"/>
    <w:rsid w:val="006D7CAA"/>
    <w:rsid w:val="006E00AC"/>
    <w:rsid w:val="006E00FA"/>
    <w:rsid w:val="006E01D9"/>
    <w:rsid w:val="006E076D"/>
    <w:rsid w:val="006E09D5"/>
    <w:rsid w:val="006E0B9A"/>
    <w:rsid w:val="006E0EEB"/>
    <w:rsid w:val="006E1E5F"/>
    <w:rsid w:val="006E21D8"/>
    <w:rsid w:val="006E2743"/>
    <w:rsid w:val="006E2E1B"/>
    <w:rsid w:val="006E3059"/>
    <w:rsid w:val="006E374B"/>
    <w:rsid w:val="006E42AF"/>
    <w:rsid w:val="006E45AE"/>
    <w:rsid w:val="006E4B2F"/>
    <w:rsid w:val="006E5097"/>
    <w:rsid w:val="006E59B5"/>
    <w:rsid w:val="006E5E5E"/>
    <w:rsid w:val="006E60D6"/>
    <w:rsid w:val="006E6205"/>
    <w:rsid w:val="006E68A9"/>
    <w:rsid w:val="006E6979"/>
    <w:rsid w:val="006E7804"/>
    <w:rsid w:val="006F0065"/>
    <w:rsid w:val="006F0071"/>
    <w:rsid w:val="006F030B"/>
    <w:rsid w:val="006F0A22"/>
    <w:rsid w:val="006F2C17"/>
    <w:rsid w:val="006F35D5"/>
    <w:rsid w:val="006F38B9"/>
    <w:rsid w:val="006F3BE0"/>
    <w:rsid w:val="006F3EF7"/>
    <w:rsid w:val="006F401B"/>
    <w:rsid w:val="006F4449"/>
    <w:rsid w:val="006F4AB4"/>
    <w:rsid w:val="006F4B32"/>
    <w:rsid w:val="006F4CE6"/>
    <w:rsid w:val="006F4FAF"/>
    <w:rsid w:val="006F5790"/>
    <w:rsid w:val="006F664A"/>
    <w:rsid w:val="006F719F"/>
    <w:rsid w:val="006F7C8C"/>
    <w:rsid w:val="00700C96"/>
    <w:rsid w:val="00700DB3"/>
    <w:rsid w:val="0070173F"/>
    <w:rsid w:val="00701CFC"/>
    <w:rsid w:val="00701EB2"/>
    <w:rsid w:val="007023AB"/>
    <w:rsid w:val="00702937"/>
    <w:rsid w:val="00702A5B"/>
    <w:rsid w:val="00702FEE"/>
    <w:rsid w:val="00703546"/>
    <w:rsid w:val="00703569"/>
    <w:rsid w:val="007036E3"/>
    <w:rsid w:val="00703DA5"/>
    <w:rsid w:val="00703F06"/>
    <w:rsid w:val="00706414"/>
    <w:rsid w:val="00706C8D"/>
    <w:rsid w:val="007071F1"/>
    <w:rsid w:val="00707AA4"/>
    <w:rsid w:val="0071101F"/>
    <w:rsid w:val="00711284"/>
    <w:rsid w:val="00711647"/>
    <w:rsid w:val="00712359"/>
    <w:rsid w:val="00712BA8"/>
    <w:rsid w:val="00712E84"/>
    <w:rsid w:val="00713512"/>
    <w:rsid w:val="00713D42"/>
    <w:rsid w:val="00713D94"/>
    <w:rsid w:val="0071474F"/>
    <w:rsid w:val="00714E7D"/>
    <w:rsid w:val="00715112"/>
    <w:rsid w:val="00715723"/>
    <w:rsid w:val="007169AE"/>
    <w:rsid w:val="00716DE2"/>
    <w:rsid w:val="007171DD"/>
    <w:rsid w:val="0071769F"/>
    <w:rsid w:val="00717867"/>
    <w:rsid w:val="007178FB"/>
    <w:rsid w:val="007206CF"/>
    <w:rsid w:val="00720E5D"/>
    <w:rsid w:val="00721051"/>
    <w:rsid w:val="0072147F"/>
    <w:rsid w:val="0072150F"/>
    <w:rsid w:val="0072154C"/>
    <w:rsid w:val="007219CD"/>
    <w:rsid w:val="0072361A"/>
    <w:rsid w:val="007237A0"/>
    <w:rsid w:val="00723BE6"/>
    <w:rsid w:val="00723DCA"/>
    <w:rsid w:val="00723EE0"/>
    <w:rsid w:val="00724006"/>
    <w:rsid w:val="007242EE"/>
    <w:rsid w:val="007245A1"/>
    <w:rsid w:val="007247C2"/>
    <w:rsid w:val="00725380"/>
    <w:rsid w:val="007278CE"/>
    <w:rsid w:val="007279FF"/>
    <w:rsid w:val="00727ACC"/>
    <w:rsid w:val="007300F3"/>
    <w:rsid w:val="00730214"/>
    <w:rsid w:val="00730716"/>
    <w:rsid w:val="00730A49"/>
    <w:rsid w:val="007314B3"/>
    <w:rsid w:val="00731633"/>
    <w:rsid w:val="00731AE6"/>
    <w:rsid w:val="00731CB1"/>
    <w:rsid w:val="0073227C"/>
    <w:rsid w:val="00732F1D"/>
    <w:rsid w:val="0073348A"/>
    <w:rsid w:val="0073411F"/>
    <w:rsid w:val="00734CB8"/>
    <w:rsid w:val="0073592C"/>
    <w:rsid w:val="00735936"/>
    <w:rsid w:val="0073605E"/>
    <w:rsid w:val="00736438"/>
    <w:rsid w:val="007365DC"/>
    <w:rsid w:val="007368EC"/>
    <w:rsid w:val="007375C4"/>
    <w:rsid w:val="00737893"/>
    <w:rsid w:val="00737B52"/>
    <w:rsid w:val="00740775"/>
    <w:rsid w:val="00741615"/>
    <w:rsid w:val="00741C05"/>
    <w:rsid w:val="00741CAB"/>
    <w:rsid w:val="00741F3D"/>
    <w:rsid w:val="00742F54"/>
    <w:rsid w:val="007436E5"/>
    <w:rsid w:val="00743B77"/>
    <w:rsid w:val="00744331"/>
    <w:rsid w:val="00744388"/>
    <w:rsid w:val="0074487F"/>
    <w:rsid w:val="007450FE"/>
    <w:rsid w:val="00745567"/>
    <w:rsid w:val="007455D6"/>
    <w:rsid w:val="00745DC3"/>
    <w:rsid w:val="00746AF8"/>
    <w:rsid w:val="0075037B"/>
    <w:rsid w:val="007504F3"/>
    <w:rsid w:val="00750DE2"/>
    <w:rsid w:val="00751D69"/>
    <w:rsid w:val="0075214D"/>
    <w:rsid w:val="0075257B"/>
    <w:rsid w:val="00753BE7"/>
    <w:rsid w:val="00754571"/>
    <w:rsid w:val="007549A8"/>
    <w:rsid w:val="00755028"/>
    <w:rsid w:val="0075531E"/>
    <w:rsid w:val="0075538A"/>
    <w:rsid w:val="007557AD"/>
    <w:rsid w:val="007572B2"/>
    <w:rsid w:val="007578C3"/>
    <w:rsid w:val="00757E1F"/>
    <w:rsid w:val="00757E53"/>
    <w:rsid w:val="00760214"/>
    <w:rsid w:val="007602B1"/>
    <w:rsid w:val="0076043A"/>
    <w:rsid w:val="007606D1"/>
    <w:rsid w:val="0076140A"/>
    <w:rsid w:val="007615B6"/>
    <w:rsid w:val="007619BE"/>
    <w:rsid w:val="00761A16"/>
    <w:rsid w:val="00761D47"/>
    <w:rsid w:val="00762723"/>
    <w:rsid w:val="007627FD"/>
    <w:rsid w:val="00762D38"/>
    <w:rsid w:val="00763338"/>
    <w:rsid w:val="00763957"/>
    <w:rsid w:val="00763AAF"/>
    <w:rsid w:val="00763D1A"/>
    <w:rsid w:val="00763E94"/>
    <w:rsid w:val="00763FBA"/>
    <w:rsid w:val="00764105"/>
    <w:rsid w:val="00764A03"/>
    <w:rsid w:val="00764B54"/>
    <w:rsid w:val="00765261"/>
    <w:rsid w:val="00765BD7"/>
    <w:rsid w:val="00765F61"/>
    <w:rsid w:val="0076614C"/>
    <w:rsid w:val="0076675D"/>
    <w:rsid w:val="00766946"/>
    <w:rsid w:val="00766B62"/>
    <w:rsid w:val="007672F3"/>
    <w:rsid w:val="0076778F"/>
    <w:rsid w:val="0076779D"/>
    <w:rsid w:val="007700DD"/>
    <w:rsid w:val="00770C0D"/>
    <w:rsid w:val="007710CD"/>
    <w:rsid w:val="00771356"/>
    <w:rsid w:val="00771711"/>
    <w:rsid w:val="00771D1A"/>
    <w:rsid w:val="00771DB2"/>
    <w:rsid w:val="00771F39"/>
    <w:rsid w:val="00772398"/>
    <w:rsid w:val="00772908"/>
    <w:rsid w:val="00772B59"/>
    <w:rsid w:val="00772EB3"/>
    <w:rsid w:val="007737EC"/>
    <w:rsid w:val="00773A6F"/>
    <w:rsid w:val="00773F09"/>
    <w:rsid w:val="00773FE6"/>
    <w:rsid w:val="00774220"/>
    <w:rsid w:val="00774823"/>
    <w:rsid w:val="007749B6"/>
    <w:rsid w:val="00774FFE"/>
    <w:rsid w:val="007750A4"/>
    <w:rsid w:val="007753BC"/>
    <w:rsid w:val="00775A49"/>
    <w:rsid w:val="00775B3E"/>
    <w:rsid w:val="00775E55"/>
    <w:rsid w:val="00776E21"/>
    <w:rsid w:val="0077708B"/>
    <w:rsid w:val="00777666"/>
    <w:rsid w:val="00780036"/>
    <w:rsid w:val="00780911"/>
    <w:rsid w:val="00780AF2"/>
    <w:rsid w:val="007813A0"/>
    <w:rsid w:val="00781751"/>
    <w:rsid w:val="00781851"/>
    <w:rsid w:val="00781DEA"/>
    <w:rsid w:val="007820B9"/>
    <w:rsid w:val="00782146"/>
    <w:rsid w:val="00782DD1"/>
    <w:rsid w:val="00783015"/>
    <w:rsid w:val="0078327B"/>
    <w:rsid w:val="007836D7"/>
    <w:rsid w:val="0078378E"/>
    <w:rsid w:val="007842BD"/>
    <w:rsid w:val="00785020"/>
    <w:rsid w:val="00785445"/>
    <w:rsid w:val="00785BED"/>
    <w:rsid w:val="00785E9D"/>
    <w:rsid w:val="00786556"/>
    <w:rsid w:val="00786B63"/>
    <w:rsid w:val="00786BE9"/>
    <w:rsid w:val="00786F2E"/>
    <w:rsid w:val="0078701B"/>
    <w:rsid w:val="0078701F"/>
    <w:rsid w:val="00787879"/>
    <w:rsid w:val="007878AE"/>
    <w:rsid w:val="00787928"/>
    <w:rsid w:val="00787AC5"/>
    <w:rsid w:val="00787F02"/>
    <w:rsid w:val="007906D5"/>
    <w:rsid w:val="00790E27"/>
    <w:rsid w:val="00791776"/>
    <w:rsid w:val="00791D60"/>
    <w:rsid w:val="00791DA6"/>
    <w:rsid w:val="007921DE"/>
    <w:rsid w:val="0079264A"/>
    <w:rsid w:val="00792B43"/>
    <w:rsid w:val="00792D48"/>
    <w:rsid w:val="00792DA5"/>
    <w:rsid w:val="00793037"/>
    <w:rsid w:val="0079377C"/>
    <w:rsid w:val="007943A5"/>
    <w:rsid w:val="0079454A"/>
    <w:rsid w:val="0079557C"/>
    <w:rsid w:val="00795E8E"/>
    <w:rsid w:val="00796442"/>
    <w:rsid w:val="00796D57"/>
    <w:rsid w:val="00796DE9"/>
    <w:rsid w:val="007973EF"/>
    <w:rsid w:val="00797BE6"/>
    <w:rsid w:val="007A0746"/>
    <w:rsid w:val="007A0AEC"/>
    <w:rsid w:val="007A0ED8"/>
    <w:rsid w:val="007A2322"/>
    <w:rsid w:val="007A2431"/>
    <w:rsid w:val="007A2836"/>
    <w:rsid w:val="007A2DA9"/>
    <w:rsid w:val="007A368C"/>
    <w:rsid w:val="007A3BD1"/>
    <w:rsid w:val="007A3E52"/>
    <w:rsid w:val="007A4383"/>
    <w:rsid w:val="007A4B91"/>
    <w:rsid w:val="007A505D"/>
    <w:rsid w:val="007A53C2"/>
    <w:rsid w:val="007A586F"/>
    <w:rsid w:val="007A5BF6"/>
    <w:rsid w:val="007A5CDA"/>
    <w:rsid w:val="007A5CF4"/>
    <w:rsid w:val="007A5DAB"/>
    <w:rsid w:val="007A5DF6"/>
    <w:rsid w:val="007A5F9F"/>
    <w:rsid w:val="007A6827"/>
    <w:rsid w:val="007A6DF9"/>
    <w:rsid w:val="007A6EDC"/>
    <w:rsid w:val="007A6FB3"/>
    <w:rsid w:val="007A76FF"/>
    <w:rsid w:val="007A7D52"/>
    <w:rsid w:val="007B0050"/>
    <w:rsid w:val="007B04BB"/>
    <w:rsid w:val="007B087B"/>
    <w:rsid w:val="007B150E"/>
    <w:rsid w:val="007B1B31"/>
    <w:rsid w:val="007B1F00"/>
    <w:rsid w:val="007B2522"/>
    <w:rsid w:val="007B2600"/>
    <w:rsid w:val="007B279C"/>
    <w:rsid w:val="007B32A4"/>
    <w:rsid w:val="007B3991"/>
    <w:rsid w:val="007B3F91"/>
    <w:rsid w:val="007B4F4D"/>
    <w:rsid w:val="007B5156"/>
    <w:rsid w:val="007B5C45"/>
    <w:rsid w:val="007B5DA9"/>
    <w:rsid w:val="007B7390"/>
    <w:rsid w:val="007B7978"/>
    <w:rsid w:val="007B7DE8"/>
    <w:rsid w:val="007C0DFD"/>
    <w:rsid w:val="007C1BFC"/>
    <w:rsid w:val="007C1CE6"/>
    <w:rsid w:val="007C1DC1"/>
    <w:rsid w:val="007C22F1"/>
    <w:rsid w:val="007C273A"/>
    <w:rsid w:val="007C28BF"/>
    <w:rsid w:val="007C356B"/>
    <w:rsid w:val="007C3687"/>
    <w:rsid w:val="007C3866"/>
    <w:rsid w:val="007C4A8E"/>
    <w:rsid w:val="007C4C85"/>
    <w:rsid w:val="007C4CEF"/>
    <w:rsid w:val="007C52E6"/>
    <w:rsid w:val="007C5D4F"/>
    <w:rsid w:val="007C678B"/>
    <w:rsid w:val="007C6A2B"/>
    <w:rsid w:val="007C6AAC"/>
    <w:rsid w:val="007C738A"/>
    <w:rsid w:val="007C7951"/>
    <w:rsid w:val="007D17EB"/>
    <w:rsid w:val="007D1817"/>
    <w:rsid w:val="007D1DED"/>
    <w:rsid w:val="007D1F00"/>
    <w:rsid w:val="007D1FF1"/>
    <w:rsid w:val="007D2BB4"/>
    <w:rsid w:val="007D2C2D"/>
    <w:rsid w:val="007D2DAF"/>
    <w:rsid w:val="007D3130"/>
    <w:rsid w:val="007D3CA4"/>
    <w:rsid w:val="007D4AE6"/>
    <w:rsid w:val="007D52FA"/>
    <w:rsid w:val="007D53E8"/>
    <w:rsid w:val="007D6700"/>
    <w:rsid w:val="007D712C"/>
    <w:rsid w:val="007E0148"/>
    <w:rsid w:val="007E10F5"/>
    <w:rsid w:val="007E14E3"/>
    <w:rsid w:val="007E2285"/>
    <w:rsid w:val="007E2F58"/>
    <w:rsid w:val="007E32BD"/>
    <w:rsid w:val="007E3508"/>
    <w:rsid w:val="007E3668"/>
    <w:rsid w:val="007E37B7"/>
    <w:rsid w:val="007E3C3B"/>
    <w:rsid w:val="007E3E40"/>
    <w:rsid w:val="007E3EEF"/>
    <w:rsid w:val="007E402B"/>
    <w:rsid w:val="007E546A"/>
    <w:rsid w:val="007E5AF7"/>
    <w:rsid w:val="007E5B5B"/>
    <w:rsid w:val="007E5BF8"/>
    <w:rsid w:val="007E5FB4"/>
    <w:rsid w:val="007E604C"/>
    <w:rsid w:val="007E63C8"/>
    <w:rsid w:val="007E6AA2"/>
    <w:rsid w:val="007E7CFB"/>
    <w:rsid w:val="007E7E6F"/>
    <w:rsid w:val="007F0003"/>
    <w:rsid w:val="007F037D"/>
    <w:rsid w:val="007F078C"/>
    <w:rsid w:val="007F0D0E"/>
    <w:rsid w:val="007F17DA"/>
    <w:rsid w:val="007F1F13"/>
    <w:rsid w:val="007F1FD4"/>
    <w:rsid w:val="007F29B7"/>
    <w:rsid w:val="007F2F9F"/>
    <w:rsid w:val="007F2FB4"/>
    <w:rsid w:val="007F3C1C"/>
    <w:rsid w:val="007F3CB7"/>
    <w:rsid w:val="007F42E2"/>
    <w:rsid w:val="007F55F0"/>
    <w:rsid w:val="007F588A"/>
    <w:rsid w:val="007F5BB1"/>
    <w:rsid w:val="007F5C90"/>
    <w:rsid w:val="007F6A27"/>
    <w:rsid w:val="007F6AE4"/>
    <w:rsid w:val="007F7EA8"/>
    <w:rsid w:val="00800749"/>
    <w:rsid w:val="00801918"/>
    <w:rsid w:val="00801FED"/>
    <w:rsid w:val="00802202"/>
    <w:rsid w:val="00802985"/>
    <w:rsid w:val="00802BBD"/>
    <w:rsid w:val="008036D3"/>
    <w:rsid w:val="00803902"/>
    <w:rsid w:val="00803C6E"/>
    <w:rsid w:val="00804990"/>
    <w:rsid w:val="00804D54"/>
    <w:rsid w:val="008050B1"/>
    <w:rsid w:val="008055D8"/>
    <w:rsid w:val="00805E2E"/>
    <w:rsid w:val="00806159"/>
    <w:rsid w:val="008061D6"/>
    <w:rsid w:val="00806253"/>
    <w:rsid w:val="008062EA"/>
    <w:rsid w:val="00806359"/>
    <w:rsid w:val="0080714F"/>
    <w:rsid w:val="00807A2C"/>
    <w:rsid w:val="00807BD5"/>
    <w:rsid w:val="00807DA8"/>
    <w:rsid w:val="00810954"/>
    <w:rsid w:val="00810A09"/>
    <w:rsid w:val="00810AB7"/>
    <w:rsid w:val="00810D69"/>
    <w:rsid w:val="00811162"/>
    <w:rsid w:val="00811451"/>
    <w:rsid w:val="0081149C"/>
    <w:rsid w:val="0081258F"/>
    <w:rsid w:val="00812A17"/>
    <w:rsid w:val="00813988"/>
    <w:rsid w:val="008140CC"/>
    <w:rsid w:val="008145F1"/>
    <w:rsid w:val="00814F62"/>
    <w:rsid w:val="00815423"/>
    <w:rsid w:val="008154A8"/>
    <w:rsid w:val="008154D9"/>
    <w:rsid w:val="008159C1"/>
    <w:rsid w:val="00815AC7"/>
    <w:rsid w:val="00815AE9"/>
    <w:rsid w:val="00816B01"/>
    <w:rsid w:val="00816D43"/>
    <w:rsid w:val="00816F27"/>
    <w:rsid w:val="00817015"/>
    <w:rsid w:val="00817335"/>
    <w:rsid w:val="008174FE"/>
    <w:rsid w:val="00820336"/>
    <w:rsid w:val="008204DA"/>
    <w:rsid w:val="00820E64"/>
    <w:rsid w:val="00820FEF"/>
    <w:rsid w:val="00821418"/>
    <w:rsid w:val="00821765"/>
    <w:rsid w:val="00821CD7"/>
    <w:rsid w:val="00821EBC"/>
    <w:rsid w:val="00823B07"/>
    <w:rsid w:val="008251E6"/>
    <w:rsid w:val="00825EE3"/>
    <w:rsid w:val="00826198"/>
    <w:rsid w:val="0082624A"/>
    <w:rsid w:val="008263BD"/>
    <w:rsid w:val="00826790"/>
    <w:rsid w:val="00826BAA"/>
    <w:rsid w:val="00827251"/>
    <w:rsid w:val="00827BEF"/>
    <w:rsid w:val="00827CAB"/>
    <w:rsid w:val="00827D58"/>
    <w:rsid w:val="00827DE1"/>
    <w:rsid w:val="00827E6C"/>
    <w:rsid w:val="00830518"/>
    <w:rsid w:val="008307B8"/>
    <w:rsid w:val="008307ED"/>
    <w:rsid w:val="0083089D"/>
    <w:rsid w:val="008310F3"/>
    <w:rsid w:val="00831B16"/>
    <w:rsid w:val="00831BDC"/>
    <w:rsid w:val="00831BE0"/>
    <w:rsid w:val="0083209C"/>
    <w:rsid w:val="00832C6E"/>
    <w:rsid w:val="00833095"/>
    <w:rsid w:val="0083403C"/>
    <w:rsid w:val="008346EA"/>
    <w:rsid w:val="00834DDA"/>
    <w:rsid w:val="008350D7"/>
    <w:rsid w:val="008363DE"/>
    <w:rsid w:val="008364A2"/>
    <w:rsid w:val="00836634"/>
    <w:rsid w:val="00836670"/>
    <w:rsid w:val="00836C73"/>
    <w:rsid w:val="00837065"/>
    <w:rsid w:val="0083717B"/>
    <w:rsid w:val="00837DF2"/>
    <w:rsid w:val="008409D8"/>
    <w:rsid w:val="00841351"/>
    <w:rsid w:val="00841693"/>
    <w:rsid w:val="00841E3D"/>
    <w:rsid w:val="008420C4"/>
    <w:rsid w:val="008424C8"/>
    <w:rsid w:val="008429E5"/>
    <w:rsid w:val="008439D1"/>
    <w:rsid w:val="00844235"/>
    <w:rsid w:val="0084545E"/>
    <w:rsid w:val="00845B89"/>
    <w:rsid w:val="00846198"/>
    <w:rsid w:val="008462E4"/>
    <w:rsid w:val="00846306"/>
    <w:rsid w:val="0084630C"/>
    <w:rsid w:val="00846AF6"/>
    <w:rsid w:val="00846B11"/>
    <w:rsid w:val="008472BB"/>
    <w:rsid w:val="00847314"/>
    <w:rsid w:val="008474AC"/>
    <w:rsid w:val="00847516"/>
    <w:rsid w:val="00847772"/>
    <w:rsid w:val="00847B7A"/>
    <w:rsid w:val="008513E7"/>
    <w:rsid w:val="00851A3B"/>
    <w:rsid w:val="00852246"/>
    <w:rsid w:val="008525FC"/>
    <w:rsid w:val="00852D53"/>
    <w:rsid w:val="008535EF"/>
    <w:rsid w:val="00854208"/>
    <w:rsid w:val="008543BD"/>
    <w:rsid w:val="0085496F"/>
    <w:rsid w:val="008552C0"/>
    <w:rsid w:val="0085541E"/>
    <w:rsid w:val="008559FE"/>
    <w:rsid w:val="00855FA5"/>
    <w:rsid w:val="008574EB"/>
    <w:rsid w:val="00857AA2"/>
    <w:rsid w:val="0086104F"/>
    <w:rsid w:val="0086129F"/>
    <w:rsid w:val="008615E6"/>
    <w:rsid w:val="00861913"/>
    <w:rsid w:val="008620D9"/>
    <w:rsid w:val="0086263B"/>
    <w:rsid w:val="0086271F"/>
    <w:rsid w:val="00862EF2"/>
    <w:rsid w:val="008630C1"/>
    <w:rsid w:val="008630F9"/>
    <w:rsid w:val="008631E7"/>
    <w:rsid w:val="008638F1"/>
    <w:rsid w:val="00864186"/>
    <w:rsid w:val="00864321"/>
    <w:rsid w:val="00864783"/>
    <w:rsid w:val="008652EF"/>
    <w:rsid w:val="00865DEA"/>
    <w:rsid w:val="0086647B"/>
    <w:rsid w:val="00866E61"/>
    <w:rsid w:val="00866E79"/>
    <w:rsid w:val="00866F19"/>
    <w:rsid w:val="00866F5B"/>
    <w:rsid w:val="00867BC8"/>
    <w:rsid w:val="00870360"/>
    <w:rsid w:val="0087068E"/>
    <w:rsid w:val="00870691"/>
    <w:rsid w:val="00870C11"/>
    <w:rsid w:val="00871120"/>
    <w:rsid w:val="0087132E"/>
    <w:rsid w:val="00871CF3"/>
    <w:rsid w:val="00871FC9"/>
    <w:rsid w:val="008724F8"/>
    <w:rsid w:val="008726F5"/>
    <w:rsid w:val="00872701"/>
    <w:rsid w:val="008727BA"/>
    <w:rsid w:val="008733A6"/>
    <w:rsid w:val="00873BD9"/>
    <w:rsid w:val="0087447C"/>
    <w:rsid w:val="008749B2"/>
    <w:rsid w:val="0087526B"/>
    <w:rsid w:val="008752FE"/>
    <w:rsid w:val="00875834"/>
    <w:rsid w:val="00875ED0"/>
    <w:rsid w:val="008768EE"/>
    <w:rsid w:val="00876E67"/>
    <w:rsid w:val="008771B1"/>
    <w:rsid w:val="00877663"/>
    <w:rsid w:val="0087776F"/>
    <w:rsid w:val="00877779"/>
    <w:rsid w:val="00877889"/>
    <w:rsid w:val="00877A31"/>
    <w:rsid w:val="00880563"/>
    <w:rsid w:val="00881D2C"/>
    <w:rsid w:val="008830C5"/>
    <w:rsid w:val="00883375"/>
    <w:rsid w:val="0088369D"/>
    <w:rsid w:val="0088379F"/>
    <w:rsid w:val="008838EF"/>
    <w:rsid w:val="00883AD6"/>
    <w:rsid w:val="00883B8C"/>
    <w:rsid w:val="00884C67"/>
    <w:rsid w:val="00884D00"/>
    <w:rsid w:val="00885591"/>
    <w:rsid w:val="00885A36"/>
    <w:rsid w:val="00886935"/>
    <w:rsid w:val="0088696D"/>
    <w:rsid w:val="008904E7"/>
    <w:rsid w:val="008907F9"/>
    <w:rsid w:val="0089161E"/>
    <w:rsid w:val="00891B76"/>
    <w:rsid w:val="0089222E"/>
    <w:rsid w:val="00893BF0"/>
    <w:rsid w:val="008942D0"/>
    <w:rsid w:val="008969FB"/>
    <w:rsid w:val="00896DD3"/>
    <w:rsid w:val="00896EBD"/>
    <w:rsid w:val="00897094"/>
    <w:rsid w:val="008972C5"/>
    <w:rsid w:val="00897957"/>
    <w:rsid w:val="00897F76"/>
    <w:rsid w:val="008A0AE0"/>
    <w:rsid w:val="008A18B9"/>
    <w:rsid w:val="008A19EA"/>
    <w:rsid w:val="008A1BA6"/>
    <w:rsid w:val="008A1E4A"/>
    <w:rsid w:val="008A24FB"/>
    <w:rsid w:val="008A3305"/>
    <w:rsid w:val="008A34F9"/>
    <w:rsid w:val="008A3523"/>
    <w:rsid w:val="008A3751"/>
    <w:rsid w:val="008A39B2"/>
    <w:rsid w:val="008A3BC8"/>
    <w:rsid w:val="008A3DD8"/>
    <w:rsid w:val="008A48C1"/>
    <w:rsid w:val="008A4D8A"/>
    <w:rsid w:val="008A5132"/>
    <w:rsid w:val="008A55CC"/>
    <w:rsid w:val="008A569C"/>
    <w:rsid w:val="008A5820"/>
    <w:rsid w:val="008A76EC"/>
    <w:rsid w:val="008A77CA"/>
    <w:rsid w:val="008A7A18"/>
    <w:rsid w:val="008A7ECD"/>
    <w:rsid w:val="008B02E6"/>
    <w:rsid w:val="008B0A59"/>
    <w:rsid w:val="008B10C4"/>
    <w:rsid w:val="008B15C1"/>
    <w:rsid w:val="008B1659"/>
    <w:rsid w:val="008B16A4"/>
    <w:rsid w:val="008B2272"/>
    <w:rsid w:val="008B24E8"/>
    <w:rsid w:val="008B2BF4"/>
    <w:rsid w:val="008B2C44"/>
    <w:rsid w:val="008B2FA5"/>
    <w:rsid w:val="008B4503"/>
    <w:rsid w:val="008B463D"/>
    <w:rsid w:val="008B4711"/>
    <w:rsid w:val="008B5250"/>
    <w:rsid w:val="008B5529"/>
    <w:rsid w:val="008B6014"/>
    <w:rsid w:val="008B60C8"/>
    <w:rsid w:val="008B6A8B"/>
    <w:rsid w:val="008B6ECC"/>
    <w:rsid w:val="008B76D9"/>
    <w:rsid w:val="008B7DCC"/>
    <w:rsid w:val="008B7DE2"/>
    <w:rsid w:val="008C02D0"/>
    <w:rsid w:val="008C02EF"/>
    <w:rsid w:val="008C15D0"/>
    <w:rsid w:val="008C178E"/>
    <w:rsid w:val="008C185B"/>
    <w:rsid w:val="008C2348"/>
    <w:rsid w:val="008C2435"/>
    <w:rsid w:val="008C2A4E"/>
    <w:rsid w:val="008C2C91"/>
    <w:rsid w:val="008C2E17"/>
    <w:rsid w:val="008C3149"/>
    <w:rsid w:val="008C3355"/>
    <w:rsid w:val="008C3433"/>
    <w:rsid w:val="008C399F"/>
    <w:rsid w:val="008C3A34"/>
    <w:rsid w:val="008C3DEA"/>
    <w:rsid w:val="008C498A"/>
    <w:rsid w:val="008C583C"/>
    <w:rsid w:val="008C598A"/>
    <w:rsid w:val="008C5B0B"/>
    <w:rsid w:val="008C685B"/>
    <w:rsid w:val="008C6900"/>
    <w:rsid w:val="008C77EA"/>
    <w:rsid w:val="008C78DA"/>
    <w:rsid w:val="008D1A49"/>
    <w:rsid w:val="008D1C4A"/>
    <w:rsid w:val="008D1C80"/>
    <w:rsid w:val="008D1D05"/>
    <w:rsid w:val="008D1F3C"/>
    <w:rsid w:val="008D2258"/>
    <w:rsid w:val="008D249F"/>
    <w:rsid w:val="008D30FD"/>
    <w:rsid w:val="008D3715"/>
    <w:rsid w:val="008D386B"/>
    <w:rsid w:val="008D49DD"/>
    <w:rsid w:val="008D4A7C"/>
    <w:rsid w:val="008D4FCB"/>
    <w:rsid w:val="008D598D"/>
    <w:rsid w:val="008D5C61"/>
    <w:rsid w:val="008D6F33"/>
    <w:rsid w:val="008D737E"/>
    <w:rsid w:val="008D7592"/>
    <w:rsid w:val="008D75DC"/>
    <w:rsid w:val="008D7D1D"/>
    <w:rsid w:val="008E02E5"/>
    <w:rsid w:val="008E0A19"/>
    <w:rsid w:val="008E0D60"/>
    <w:rsid w:val="008E16E5"/>
    <w:rsid w:val="008E20B9"/>
    <w:rsid w:val="008E228B"/>
    <w:rsid w:val="008E2335"/>
    <w:rsid w:val="008E24AA"/>
    <w:rsid w:val="008E250A"/>
    <w:rsid w:val="008E26BD"/>
    <w:rsid w:val="008E2845"/>
    <w:rsid w:val="008E28AA"/>
    <w:rsid w:val="008E2A70"/>
    <w:rsid w:val="008E3A59"/>
    <w:rsid w:val="008E3B13"/>
    <w:rsid w:val="008E3CA3"/>
    <w:rsid w:val="008E408D"/>
    <w:rsid w:val="008E439E"/>
    <w:rsid w:val="008E51FE"/>
    <w:rsid w:val="008E5857"/>
    <w:rsid w:val="008E6044"/>
    <w:rsid w:val="008E65F2"/>
    <w:rsid w:val="008E6714"/>
    <w:rsid w:val="008E699D"/>
    <w:rsid w:val="008E711E"/>
    <w:rsid w:val="008E7A85"/>
    <w:rsid w:val="008E7C96"/>
    <w:rsid w:val="008E7FF9"/>
    <w:rsid w:val="008F0044"/>
    <w:rsid w:val="008F056F"/>
    <w:rsid w:val="008F0DFE"/>
    <w:rsid w:val="008F0F45"/>
    <w:rsid w:val="008F1664"/>
    <w:rsid w:val="008F1CDC"/>
    <w:rsid w:val="008F22EA"/>
    <w:rsid w:val="008F3EA0"/>
    <w:rsid w:val="008F406F"/>
    <w:rsid w:val="008F4914"/>
    <w:rsid w:val="008F4953"/>
    <w:rsid w:val="008F4B39"/>
    <w:rsid w:val="008F4B80"/>
    <w:rsid w:val="008F4C2F"/>
    <w:rsid w:val="008F524F"/>
    <w:rsid w:val="008F5E69"/>
    <w:rsid w:val="008F6749"/>
    <w:rsid w:val="008F6B22"/>
    <w:rsid w:val="008F6BB8"/>
    <w:rsid w:val="008F6C47"/>
    <w:rsid w:val="008F71BE"/>
    <w:rsid w:val="008F7318"/>
    <w:rsid w:val="008F76FE"/>
    <w:rsid w:val="00901F2F"/>
    <w:rsid w:val="009022A4"/>
    <w:rsid w:val="00902577"/>
    <w:rsid w:val="009025F9"/>
    <w:rsid w:val="0090260B"/>
    <w:rsid w:val="00902B3A"/>
    <w:rsid w:val="00903111"/>
    <w:rsid w:val="009035A3"/>
    <w:rsid w:val="00903A66"/>
    <w:rsid w:val="00903BC9"/>
    <w:rsid w:val="00903F50"/>
    <w:rsid w:val="00904153"/>
    <w:rsid w:val="0090448F"/>
    <w:rsid w:val="00904697"/>
    <w:rsid w:val="009067A4"/>
    <w:rsid w:val="009070F2"/>
    <w:rsid w:val="009073A7"/>
    <w:rsid w:val="009077E1"/>
    <w:rsid w:val="009079B4"/>
    <w:rsid w:val="00907BEA"/>
    <w:rsid w:val="009101CA"/>
    <w:rsid w:val="009101DE"/>
    <w:rsid w:val="009101DF"/>
    <w:rsid w:val="0091042F"/>
    <w:rsid w:val="00910578"/>
    <w:rsid w:val="00910884"/>
    <w:rsid w:val="00910A96"/>
    <w:rsid w:val="00910FC5"/>
    <w:rsid w:val="009118AA"/>
    <w:rsid w:val="00911DBA"/>
    <w:rsid w:val="009127B8"/>
    <w:rsid w:val="009135E4"/>
    <w:rsid w:val="00913ADB"/>
    <w:rsid w:val="00913C5B"/>
    <w:rsid w:val="00913FE7"/>
    <w:rsid w:val="0091457E"/>
    <w:rsid w:val="00914648"/>
    <w:rsid w:val="00914668"/>
    <w:rsid w:val="009146CB"/>
    <w:rsid w:val="00914AD6"/>
    <w:rsid w:val="00914C6D"/>
    <w:rsid w:val="0091609A"/>
    <w:rsid w:val="009160B2"/>
    <w:rsid w:val="00916B09"/>
    <w:rsid w:val="00916B84"/>
    <w:rsid w:val="00916C97"/>
    <w:rsid w:val="009171CF"/>
    <w:rsid w:val="00917854"/>
    <w:rsid w:val="00917CA8"/>
    <w:rsid w:val="009208B9"/>
    <w:rsid w:val="00920CE8"/>
    <w:rsid w:val="00921535"/>
    <w:rsid w:val="00921631"/>
    <w:rsid w:val="00921938"/>
    <w:rsid w:val="00921BC9"/>
    <w:rsid w:val="00921D93"/>
    <w:rsid w:val="00921E38"/>
    <w:rsid w:val="00921F47"/>
    <w:rsid w:val="009222D3"/>
    <w:rsid w:val="00922C04"/>
    <w:rsid w:val="009230DF"/>
    <w:rsid w:val="0092311C"/>
    <w:rsid w:val="0092388E"/>
    <w:rsid w:val="00923BC9"/>
    <w:rsid w:val="00924B4B"/>
    <w:rsid w:val="00924C87"/>
    <w:rsid w:val="0092505D"/>
    <w:rsid w:val="0092507E"/>
    <w:rsid w:val="009250F9"/>
    <w:rsid w:val="00925CFB"/>
    <w:rsid w:val="00925E05"/>
    <w:rsid w:val="00925EEF"/>
    <w:rsid w:val="009268B5"/>
    <w:rsid w:val="00926C2C"/>
    <w:rsid w:val="00926CA0"/>
    <w:rsid w:val="009271E2"/>
    <w:rsid w:val="009275EB"/>
    <w:rsid w:val="00927E2A"/>
    <w:rsid w:val="00930503"/>
    <w:rsid w:val="00930602"/>
    <w:rsid w:val="00930B28"/>
    <w:rsid w:val="00930D4E"/>
    <w:rsid w:val="00930D59"/>
    <w:rsid w:val="0093150B"/>
    <w:rsid w:val="00931AFB"/>
    <w:rsid w:val="00931CCD"/>
    <w:rsid w:val="00931EA1"/>
    <w:rsid w:val="00931EA7"/>
    <w:rsid w:val="009324DC"/>
    <w:rsid w:val="00932CC1"/>
    <w:rsid w:val="0093394C"/>
    <w:rsid w:val="00933BCD"/>
    <w:rsid w:val="009344CD"/>
    <w:rsid w:val="00934599"/>
    <w:rsid w:val="009345C3"/>
    <w:rsid w:val="00934760"/>
    <w:rsid w:val="00935236"/>
    <w:rsid w:val="009352BD"/>
    <w:rsid w:val="0093530C"/>
    <w:rsid w:val="0093588E"/>
    <w:rsid w:val="00935A85"/>
    <w:rsid w:val="00935DE0"/>
    <w:rsid w:val="00937105"/>
    <w:rsid w:val="009371EC"/>
    <w:rsid w:val="009372E6"/>
    <w:rsid w:val="00937637"/>
    <w:rsid w:val="00937B55"/>
    <w:rsid w:val="009410D0"/>
    <w:rsid w:val="009416DB"/>
    <w:rsid w:val="00941F18"/>
    <w:rsid w:val="00941F73"/>
    <w:rsid w:val="00942278"/>
    <w:rsid w:val="009426A6"/>
    <w:rsid w:val="009428BD"/>
    <w:rsid w:val="00943111"/>
    <w:rsid w:val="00943800"/>
    <w:rsid w:val="00943AE2"/>
    <w:rsid w:val="00943C6F"/>
    <w:rsid w:val="00944216"/>
    <w:rsid w:val="00944D3C"/>
    <w:rsid w:val="009452B8"/>
    <w:rsid w:val="00945DE6"/>
    <w:rsid w:val="00946814"/>
    <w:rsid w:val="00946870"/>
    <w:rsid w:val="00946EC8"/>
    <w:rsid w:val="00947FA3"/>
    <w:rsid w:val="00950B51"/>
    <w:rsid w:val="00950B72"/>
    <w:rsid w:val="00950FF3"/>
    <w:rsid w:val="00951413"/>
    <w:rsid w:val="009515CD"/>
    <w:rsid w:val="00951783"/>
    <w:rsid w:val="009521D4"/>
    <w:rsid w:val="009521F7"/>
    <w:rsid w:val="00952643"/>
    <w:rsid w:val="00953E9C"/>
    <w:rsid w:val="00954372"/>
    <w:rsid w:val="00954675"/>
    <w:rsid w:val="00954E1C"/>
    <w:rsid w:val="0095529F"/>
    <w:rsid w:val="00955780"/>
    <w:rsid w:val="00955964"/>
    <w:rsid w:val="00956223"/>
    <w:rsid w:val="00956992"/>
    <w:rsid w:val="00956DC1"/>
    <w:rsid w:val="009575FF"/>
    <w:rsid w:val="00957A07"/>
    <w:rsid w:val="00960187"/>
    <w:rsid w:val="009604CF"/>
    <w:rsid w:val="009607A7"/>
    <w:rsid w:val="0096095F"/>
    <w:rsid w:val="00960C10"/>
    <w:rsid w:val="00961189"/>
    <w:rsid w:val="009625A3"/>
    <w:rsid w:val="00962E9E"/>
    <w:rsid w:val="0096335E"/>
    <w:rsid w:val="00963481"/>
    <w:rsid w:val="00963F0E"/>
    <w:rsid w:val="00964B89"/>
    <w:rsid w:val="0096502C"/>
    <w:rsid w:val="00965643"/>
    <w:rsid w:val="00965A20"/>
    <w:rsid w:val="00965F67"/>
    <w:rsid w:val="00966AB0"/>
    <w:rsid w:val="00966CFD"/>
    <w:rsid w:val="0096707D"/>
    <w:rsid w:val="00967393"/>
    <w:rsid w:val="0096793B"/>
    <w:rsid w:val="00967B2A"/>
    <w:rsid w:val="00967D39"/>
    <w:rsid w:val="0097004E"/>
    <w:rsid w:val="00970167"/>
    <w:rsid w:val="00970B37"/>
    <w:rsid w:val="00971384"/>
    <w:rsid w:val="0097183A"/>
    <w:rsid w:val="00971BE9"/>
    <w:rsid w:val="00972250"/>
    <w:rsid w:val="0097242F"/>
    <w:rsid w:val="00972690"/>
    <w:rsid w:val="009729B6"/>
    <w:rsid w:val="009730AA"/>
    <w:rsid w:val="00973334"/>
    <w:rsid w:val="00973352"/>
    <w:rsid w:val="00973C57"/>
    <w:rsid w:val="0097497B"/>
    <w:rsid w:val="00974FCA"/>
    <w:rsid w:val="009756A0"/>
    <w:rsid w:val="00976294"/>
    <w:rsid w:val="009766C7"/>
    <w:rsid w:val="00976CC1"/>
    <w:rsid w:val="0097737D"/>
    <w:rsid w:val="00977EF3"/>
    <w:rsid w:val="0098028D"/>
    <w:rsid w:val="0098055F"/>
    <w:rsid w:val="009808D6"/>
    <w:rsid w:val="00980C26"/>
    <w:rsid w:val="0098126C"/>
    <w:rsid w:val="0098156B"/>
    <w:rsid w:val="009816BE"/>
    <w:rsid w:val="00981E4D"/>
    <w:rsid w:val="0098201E"/>
    <w:rsid w:val="00982099"/>
    <w:rsid w:val="009820D0"/>
    <w:rsid w:val="009838C0"/>
    <w:rsid w:val="0098406A"/>
    <w:rsid w:val="00984228"/>
    <w:rsid w:val="00984EB5"/>
    <w:rsid w:val="009852D2"/>
    <w:rsid w:val="00985338"/>
    <w:rsid w:val="00985683"/>
    <w:rsid w:val="009856C1"/>
    <w:rsid w:val="00985A88"/>
    <w:rsid w:val="00985B07"/>
    <w:rsid w:val="0098613E"/>
    <w:rsid w:val="009862FA"/>
    <w:rsid w:val="00986486"/>
    <w:rsid w:val="00987687"/>
    <w:rsid w:val="0098774D"/>
    <w:rsid w:val="009877C8"/>
    <w:rsid w:val="00987834"/>
    <w:rsid w:val="00987FB9"/>
    <w:rsid w:val="0099024F"/>
    <w:rsid w:val="00990346"/>
    <w:rsid w:val="0099072D"/>
    <w:rsid w:val="00991B54"/>
    <w:rsid w:val="00991BBA"/>
    <w:rsid w:val="009924C6"/>
    <w:rsid w:val="0099259D"/>
    <w:rsid w:val="00992891"/>
    <w:rsid w:val="009928D3"/>
    <w:rsid w:val="00992C18"/>
    <w:rsid w:val="009937DB"/>
    <w:rsid w:val="009938B7"/>
    <w:rsid w:val="00993DCC"/>
    <w:rsid w:val="009943AF"/>
    <w:rsid w:val="009945D3"/>
    <w:rsid w:val="00994856"/>
    <w:rsid w:val="009953FC"/>
    <w:rsid w:val="009955F2"/>
    <w:rsid w:val="00995A0B"/>
    <w:rsid w:val="0099645F"/>
    <w:rsid w:val="00996A1B"/>
    <w:rsid w:val="009978D4"/>
    <w:rsid w:val="00997BA4"/>
    <w:rsid w:val="009A02D7"/>
    <w:rsid w:val="009A0686"/>
    <w:rsid w:val="009A0981"/>
    <w:rsid w:val="009A0E80"/>
    <w:rsid w:val="009A0EB8"/>
    <w:rsid w:val="009A1082"/>
    <w:rsid w:val="009A13F0"/>
    <w:rsid w:val="009A150F"/>
    <w:rsid w:val="009A17B4"/>
    <w:rsid w:val="009A19D4"/>
    <w:rsid w:val="009A1CD2"/>
    <w:rsid w:val="009A219E"/>
    <w:rsid w:val="009A2776"/>
    <w:rsid w:val="009A3374"/>
    <w:rsid w:val="009A3B05"/>
    <w:rsid w:val="009A3CFC"/>
    <w:rsid w:val="009A3D96"/>
    <w:rsid w:val="009A3E9A"/>
    <w:rsid w:val="009A4B11"/>
    <w:rsid w:val="009A5292"/>
    <w:rsid w:val="009A5295"/>
    <w:rsid w:val="009A536A"/>
    <w:rsid w:val="009A557C"/>
    <w:rsid w:val="009A5BB4"/>
    <w:rsid w:val="009A5E39"/>
    <w:rsid w:val="009A6194"/>
    <w:rsid w:val="009A65AA"/>
    <w:rsid w:val="009A69BF"/>
    <w:rsid w:val="009A6BD8"/>
    <w:rsid w:val="009A6BF2"/>
    <w:rsid w:val="009A6ECF"/>
    <w:rsid w:val="009A7497"/>
    <w:rsid w:val="009A751E"/>
    <w:rsid w:val="009A7C64"/>
    <w:rsid w:val="009A7CCC"/>
    <w:rsid w:val="009B0A6C"/>
    <w:rsid w:val="009B0AA3"/>
    <w:rsid w:val="009B13D3"/>
    <w:rsid w:val="009B1E6C"/>
    <w:rsid w:val="009B245D"/>
    <w:rsid w:val="009B2A7D"/>
    <w:rsid w:val="009B2E54"/>
    <w:rsid w:val="009B3230"/>
    <w:rsid w:val="009B3236"/>
    <w:rsid w:val="009B373A"/>
    <w:rsid w:val="009B3FC0"/>
    <w:rsid w:val="009B446A"/>
    <w:rsid w:val="009B4841"/>
    <w:rsid w:val="009B4921"/>
    <w:rsid w:val="009B5189"/>
    <w:rsid w:val="009B5F41"/>
    <w:rsid w:val="009B6343"/>
    <w:rsid w:val="009B6D8C"/>
    <w:rsid w:val="009B6DFD"/>
    <w:rsid w:val="009B770E"/>
    <w:rsid w:val="009B79B5"/>
    <w:rsid w:val="009C0A93"/>
    <w:rsid w:val="009C0D17"/>
    <w:rsid w:val="009C106F"/>
    <w:rsid w:val="009C10D8"/>
    <w:rsid w:val="009C1ECC"/>
    <w:rsid w:val="009C1EE2"/>
    <w:rsid w:val="009C21A5"/>
    <w:rsid w:val="009C21BC"/>
    <w:rsid w:val="009C2542"/>
    <w:rsid w:val="009C280F"/>
    <w:rsid w:val="009C2DF2"/>
    <w:rsid w:val="009C3047"/>
    <w:rsid w:val="009C3322"/>
    <w:rsid w:val="009C34DA"/>
    <w:rsid w:val="009C49FF"/>
    <w:rsid w:val="009C5365"/>
    <w:rsid w:val="009C54F9"/>
    <w:rsid w:val="009C5730"/>
    <w:rsid w:val="009C57C7"/>
    <w:rsid w:val="009C6255"/>
    <w:rsid w:val="009C6475"/>
    <w:rsid w:val="009C6DC7"/>
    <w:rsid w:val="009C7A96"/>
    <w:rsid w:val="009C7F8C"/>
    <w:rsid w:val="009D166B"/>
    <w:rsid w:val="009D1689"/>
    <w:rsid w:val="009D1ECE"/>
    <w:rsid w:val="009D221B"/>
    <w:rsid w:val="009D248A"/>
    <w:rsid w:val="009D2855"/>
    <w:rsid w:val="009D28E1"/>
    <w:rsid w:val="009D2920"/>
    <w:rsid w:val="009D2C27"/>
    <w:rsid w:val="009D30D3"/>
    <w:rsid w:val="009D40BC"/>
    <w:rsid w:val="009D4FA8"/>
    <w:rsid w:val="009D515C"/>
    <w:rsid w:val="009D5E33"/>
    <w:rsid w:val="009D641F"/>
    <w:rsid w:val="009D657A"/>
    <w:rsid w:val="009D6918"/>
    <w:rsid w:val="009D71CE"/>
    <w:rsid w:val="009D7F76"/>
    <w:rsid w:val="009E05A1"/>
    <w:rsid w:val="009E0E07"/>
    <w:rsid w:val="009E0F72"/>
    <w:rsid w:val="009E1B80"/>
    <w:rsid w:val="009E1F6D"/>
    <w:rsid w:val="009E2403"/>
    <w:rsid w:val="009E2476"/>
    <w:rsid w:val="009E25E6"/>
    <w:rsid w:val="009E2825"/>
    <w:rsid w:val="009E2886"/>
    <w:rsid w:val="009E28FE"/>
    <w:rsid w:val="009E2A39"/>
    <w:rsid w:val="009E2B59"/>
    <w:rsid w:val="009E2BFD"/>
    <w:rsid w:val="009E315F"/>
    <w:rsid w:val="009E3550"/>
    <w:rsid w:val="009E3A3D"/>
    <w:rsid w:val="009E3E2E"/>
    <w:rsid w:val="009E4130"/>
    <w:rsid w:val="009E42A6"/>
    <w:rsid w:val="009E431A"/>
    <w:rsid w:val="009E45A8"/>
    <w:rsid w:val="009E52DD"/>
    <w:rsid w:val="009E532E"/>
    <w:rsid w:val="009E542C"/>
    <w:rsid w:val="009E562D"/>
    <w:rsid w:val="009E583A"/>
    <w:rsid w:val="009E6060"/>
    <w:rsid w:val="009E69D9"/>
    <w:rsid w:val="009E6BA1"/>
    <w:rsid w:val="009E6D13"/>
    <w:rsid w:val="009E6F90"/>
    <w:rsid w:val="009E7454"/>
    <w:rsid w:val="009E7977"/>
    <w:rsid w:val="009E7B04"/>
    <w:rsid w:val="009E7D88"/>
    <w:rsid w:val="009E7E1A"/>
    <w:rsid w:val="009F0328"/>
    <w:rsid w:val="009F043E"/>
    <w:rsid w:val="009F04F0"/>
    <w:rsid w:val="009F0581"/>
    <w:rsid w:val="009F08A2"/>
    <w:rsid w:val="009F1054"/>
    <w:rsid w:val="009F1212"/>
    <w:rsid w:val="009F14C7"/>
    <w:rsid w:val="009F1581"/>
    <w:rsid w:val="009F1583"/>
    <w:rsid w:val="009F1793"/>
    <w:rsid w:val="009F18DC"/>
    <w:rsid w:val="009F2BB2"/>
    <w:rsid w:val="009F3525"/>
    <w:rsid w:val="009F38B3"/>
    <w:rsid w:val="009F4025"/>
    <w:rsid w:val="009F437E"/>
    <w:rsid w:val="009F4429"/>
    <w:rsid w:val="009F4A7C"/>
    <w:rsid w:val="009F5114"/>
    <w:rsid w:val="009F642C"/>
    <w:rsid w:val="009F6536"/>
    <w:rsid w:val="009F65EF"/>
    <w:rsid w:val="009F6E69"/>
    <w:rsid w:val="009F708E"/>
    <w:rsid w:val="009F7153"/>
    <w:rsid w:val="009F722F"/>
    <w:rsid w:val="009F7C3B"/>
    <w:rsid w:val="009F7EBF"/>
    <w:rsid w:val="00A000B5"/>
    <w:rsid w:val="00A005D3"/>
    <w:rsid w:val="00A00FCF"/>
    <w:rsid w:val="00A00FE4"/>
    <w:rsid w:val="00A01169"/>
    <w:rsid w:val="00A01C78"/>
    <w:rsid w:val="00A01FBA"/>
    <w:rsid w:val="00A02665"/>
    <w:rsid w:val="00A02A41"/>
    <w:rsid w:val="00A034B7"/>
    <w:rsid w:val="00A037DE"/>
    <w:rsid w:val="00A0458B"/>
    <w:rsid w:val="00A04722"/>
    <w:rsid w:val="00A047FA"/>
    <w:rsid w:val="00A04805"/>
    <w:rsid w:val="00A04A7B"/>
    <w:rsid w:val="00A054DF"/>
    <w:rsid w:val="00A05600"/>
    <w:rsid w:val="00A05DD1"/>
    <w:rsid w:val="00A06F85"/>
    <w:rsid w:val="00A0728C"/>
    <w:rsid w:val="00A079F7"/>
    <w:rsid w:val="00A07CD0"/>
    <w:rsid w:val="00A10AB2"/>
    <w:rsid w:val="00A10B6B"/>
    <w:rsid w:val="00A10CBC"/>
    <w:rsid w:val="00A10DE6"/>
    <w:rsid w:val="00A11233"/>
    <w:rsid w:val="00A117F2"/>
    <w:rsid w:val="00A118DD"/>
    <w:rsid w:val="00A12626"/>
    <w:rsid w:val="00A12D33"/>
    <w:rsid w:val="00A136EE"/>
    <w:rsid w:val="00A1378C"/>
    <w:rsid w:val="00A139C1"/>
    <w:rsid w:val="00A13E4A"/>
    <w:rsid w:val="00A155B2"/>
    <w:rsid w:val="00A1579B"/>
    <w:rsid w:val="00A15F15"/>
    <w:rsid w:val="00A1608A"/>
    <w:rsid w:val="00A1653D"/>
    <w:rsid w:val="00A16A4C"/>
    <w:rsid w:val="00A173C0"/>
    <w:rsid w:val="00A178E8"/>
    <w:rsid w:val="00A17F83"/>
    <w:rsid w:val="00A2047E"/>
    <w:rsid w:val="00A207E2"/>
    <w:rsid w:val="00A20E0E"/>
    <w:rsid w:val="00A2111A"/>
    <w:rsid w:val="00A21306"/>
    <w:rsid w:val="00A21502"/>
    <w:rsid w:val="00A21526"/>
    <w:rsid w:val="00A21730"/>
    <w:rsid w:val="00A21901"/>
    <w:rsid w:val="00A21F3C"/>
    <w:rsid w:val="00A22F59"/>
    <w:rsid w:val="00A23257"/>
    <w:rsid w:val="00A23A7F"/>
    <w:rsid w:val="00A23EFE"/>
    <w:rsid w:val="00A2490A"/>
    <w:rsid w:val="00A24A7B"/>
    <w:rsid w:val="00A24D83"/>
    <w:rsid w:val="00A25912"/>
    <w:rsid w:val="00A25A35"/>
    <w:rsid w:val="00A25D37"/>
    <w:rsid w:val="00A260EC"/>
    <w:rsid w:val="00A26106"/>
    <w:rsid w:val="00A2676B"/>
    <w:rsid w:val="00A26832"/>
    <w:rsid w:val="00A269DE"/>
    <w:rsid w:val="00A26DB8"/>
    <w:rsid w:val="00A27203"/>
    <w:rsid w:val="00A27215"/>
    <w:rsid w:val="00A27A1E"/>
    <w:rsid w:val="00A27DAE"/>
    <w:rsid w:val="00A304C6"/>
    <w:rsid w:val="00A30B57"/>
    <w:rsid w:val="00A3135D"/>
    <w:rsid w:val="00A319D3"/>
    <w:rsid w:val="00A31C48"/>
    <w:rsid w:val="00A31F7B"/>
    <w:rsid w:val="00A31FB3"/>
    <w:rsid w:val="00A3264E"/>
    <w:rsid w:val="00A3279E"/>
    <w:rsid w:val="00A32B3E"/>
    <w:rsid w:val="00A32F0A"/>
    <w:rsid w:val="00A33CE5"/>
    <w:rsid w:val="00A33DE0"/>
    <w:rsid w:val="00A34120"/>
    <w:rsid w:val="00A34AFE"/>
    <w:rsid w:val="00A353EC"/>
    <w:rsid w:val="00A36156"/>
    <w:rsid w:val="00A36965"/>
    <w:rsid w:val="00A371DE"/>
    <w:rsid w:val="00A37536"/>
    <w:rsid w:val="00A375BC"/>
    <w:rsid w:val="00A37B58"/>
    <w:rsid w:val="00A37DA0"/>
    <w:rsid w:val="00A40535"/>
    <w:rsid w:val="00A405C3"/>
    <w:rsid w:val="00A40833"/>
    <w:rsid w:val="00A40D7D"/>
    <w:rsid w:val="00A41AC2"/>
    <w:rsid w:val="00A41B6E"/>
    <w:rsid w:val="00A41BAD"/>
    <w:rsid w:val="00A41FE1"/>
    <w:rsid w:val="00A422D0"/>
    <w:rsid w:val="00A42578"/>
    <w:rsid w:val="00A42C8A"/>
    <w:rsid w:val="00A43137"/>
    <w:rsid w:val="00A4450B"/>
    <w:rsid w:val="00A4454B"/>
    <w:rsid w:val="00A44C76"/>
    <w:rsid w:val="00A450FE"/>
    <w:rsid w:val="00A45C71"/>
    <w:rsid w:val="00A45CC5"/>
    <w:rsid w:val="00A4610F"/>
    <w:rsid w:val="00A462AF"/>
    <w:rsid w:val="00A465F6"/>
    <w:rsid w:val="00A47224"/>
    <w:rsid w:val="00A47706"/>
    <w:rsid w:val="00A47C21"/>
    <w:rsid w:val="00A50C21"/>
    <w:rsid w:val="00A51083"/>
    <w:rsid w:val="00A51765"/>
    <w:rsid w:val="00A5190C"/>
    <w:rsid w:val="00A51BC0"/>
    <w:rsid w:val="00A525B9"/>
    <w:rsid w:val="00A52980"/>
    <w:rsid w:val="00A529C1"/>
    <w:rsid w:val="00A54418"/>
    <w:rsid w:val="00A5489E"/>
    <w:rsid w:val="00A5651D"/>
    <w:rsid w:val="00A56A11"/>
    <w:rsid w:val="00A5732E"/>
    <w:rsid w:val="00A576DF"/>
    <w:rsid w:val="00A57E2F"/>
    <w:rsid w:val="00A57F50"/>
    <w:rsid w:val="00A60005"/>
    <w:rsid w:val="00A601D0"/>
    <w:rsid w:val="00A60491"/>
    <w:rsid w:val="00A6154B"/>
    <w:rsid w:val="00A61939"/>
    <w:rsid w:val="00A61A2C"/>
    <w:rsid w:val="00A62918"/>
    <w:rsid w:val="00A634E6"/>
    <w:rsid w:val="00A63FBB"/>
    <w:rsid w:val="00A648DB"/>
    <w:rsid w:val="00A6525C"/>
    <w:rsid w:val="00A659CC"/>
    <w:rsid w:val="00A66682"/>
    <w:rsid w:val="00A666AB"/>
    <w:rsid w:val="00A6702A"/>
    <w:rsid w:val="00A67427"/>
    <w:rsid w:val="00A6798D"/>
    <w:rsid w:val="00A67B0C"/>
    <w:rsid w:val="00A70142"/>
    <w:rsid w:val="00A706CD"/>
    <w:rsid w:val="00A7084F"/>
    <w:rsid w:val="00A70B5D"/>
    <w:rsid w:val="00A712C4"/>
    <w:rsid w:val="00A722F5"/>
    <w:rsid w:val="00A72AB7"/>
    <w:rsid w:val="00A72B65"/>
    <w:rsid w:val="00A72F87"/>
    <w:rsid w:val="00A733D2"/>
    <w:rsid w:val="00A73884"/>
    <w:rsid w:val="00A73948"/>
    <w:rsid w:val="00A74077"/>
    <w:rsid w:val="00A74E77"/>
    <w:rsid w:val="00A750C4"/>
    <w:rsid w:val="00A7522B"/>
    <w:rsid w:val="00A7528A"/>
    <w:rsid w:val="00A7534F"/>
    <w:rsid w:val="00A75358"/>
    <w:rsid w:val="00A755C1"/>
    <w:rsid w:val="00A75E8D"/>
    <w:rsid w:val="00A76101"/>
    <w:rsid w:val="00A7647B"/>
    <w:rsid w:val="00A7661B"/>
    <w:rsid w:val="00A767B4"/>
    <w:rsid w:val="00A76B03"/>
    <w:rsid w:val="00A76FF0"/>
    <w:rsid w:val="00A77052"/>
    <w:rsid w:val="00A770E8"/>
    <w:rsid w:val="00A773E5"/>
    <w:rsid w:val="00A77B0C"/>
    <w:rsid w:val="00A77DB5"/>
    <w:rsid w:val="00A80285"/>
    <w:rsid w:val="00A8031A"/>
    <w:rsid w:val="00A804DF"/>
    <w:rsid w:val="00A808BD"/>
    <w:rsid w:val="00A81491"/>
    <w:rsid w:val="00A818F8"/>
    <w:rsid w:val="00A81A5B"/>
    <w:rsid w:val="00A82FAF"/>
    <w:rsid w:val="00A83103"/>
    <w:rsid w:val="00A83244"/>
    <w:rsid w:val="00A8344D"/>
    <w:rsid w:val="00A841E4"/>
    <w:rsid w:val="00A845AC"/>
    <w:rsid w:val="00A845D0"/>
    <w:rsid w:val="00A84A6C"/>
    <w:rsid w:val="00A85D68"/>
    <w:rsid w:val="00A85EEC"/>
    <w:rsid w:val="00A85EFE"/>
    <w:rsid w:val="00A860C3"/>
    <w:rsid w:val="00A8682A"/>
    <w:rsid w:val="00A8699C"/>
    <w:rsid w:val="00A9008F"/>
    <w:rsid w:val="00A900B3"/>
    <w:rsid w:val="00A90E45"/>
    <w:rsid w:val="00A918FE"/>
    <w:rsid w:val="00A91AAB"/>
    <w:rsid w:val="00A91C06"/>
    <w:rsid w:val="00A91F4A"/>
    <w:rsid w:val="00A9213B"/>
    <w:rsid w:val="00A923AE"/>
    <w:rsid w:val="00A926A5"/>
    <w:rsid w:val="00A93388"/>
    <w:rsid w:val="00A93448"/>
    <w:rsid w:val="00A949FC"/>
    <w:rsid w:val="00A95568"/>
    <w:rsid w:val="00A955CF"/>
    <w:rsid w:val="00A961E7"/>
    <w:rsid w:val="00A969D8"/>
    <w:rsid w:val="00A96A9D"/>
    <w:rsid w:val="00A96D50"/>
    <w:rsid w:val="00A971C0"/>
    <w:rsid w:val="00A976E3"/>
    <w:rsid w:val="00A97B72"/>
    <w:rsid w:val="00A97CA6"/>
    <w:rsid w:val="00A97F86"/>
    <w:rsid w:val="00AA05DD"/>
    <w:rsid w:val="00AA0D71"/>
    <w:rsid w:val="00AA0EF6"/>
    <w:rsid w:val="00AA1BEA"/>
    <w:rsid w:val="00AA2F07"/>
    <w:rsid w:val="00AA300E"/>
    <w:rsid w:val="00AA37EE"/>
    <w:rsid w:val="00AA3E95"/>
    <w:rsid w:val="00AA495B"/>
    <w:rsid w:val="00AA515D"/>
    <w:rsid w:val="00AA5681"/>
    <w:rsid w:val="00AA5C4E"/>
    <w:rsid w:val="00AA5DD9"/>
    <w:rsid w:val="00AA63C2"/>
    <w:rsid w:val="00AA68AF"/>
    <w:rsid w:val="00AA6F4A"/>
    <w:rsid w:val="00AA6FB7"/>
    <w:rsid w:val="00AA7393"/>
    <w:rsid w:val="00AA7DFB"/>
    <w:rsid w:val="00AB0707"/>
    <w:rsid w:val="00AB14EB"/>
    <w:rsid w:val="00AB1D97"/>
    <w:rsid w:val="00AB1E0F"/>
    <w:rsid w:val="00AB1E24"/>
    <w:rsid w:val="00AB222C"/>
    <w:rsid w:val="00AB29C3"/>
    <w:rsid w:val="00AB2A06"/>
    <w:rsid w:val="00AB2C89"/>
    <w:rsid w:val="00AB2CC8"/>
    <w:rsid w:val="00AB2D47"/>
    <w:rsid w:val="00AB37B1"/>
    <w:rsid w:val="00AB4422"/>
    <w:rsid w:val="00AB4E7A"/>
    <w:rsid w:val="00AB4F4A"/>
    <w:rsid w:val="00AB5D4F"/>
    <w:rsid w:val="00AB5D52"/>
    <w:rsid w:val="00AB5E71"/>
    <w:rsid w:val="00AB6271"/>
    <w:rsid w:val="00AB62FE"/>
    <w:rsid w:val="00AB63A3"/>
    <w:rsid w:val="00AB67DE"/>
    <w:rsid w:val="00AB690E"/>
    <w:rsid w:val="00AB6960"/>
    <w:rsid w:val="00AB734C"/>
    <w:rsid w:val="00AB7BAC"/>
    <w:rsid w:val="00AC0349"/>
    <w:rsid w:val="00AC0CF1"/>
    <w:rsid w:val="00AC0EA8"/>
    <w:rsid w:val="00AC145B"/>
    <w:rsid w:val="00AC1669"/>
    <w:rsid w:val="00AC1E76"/>
    <w:rsid w:val="00AC1F1E"/>
    <w:rsid w:val="00AC231B"/>
    <w:rsid w:val="00AC2BE8"/>
    <w:rsid w:val="00AC3273"/>
    <w:rsid w:val="00AC32A4"/>
    <w:rsid w:val="00AC32FF"/>
    <w:rsid w:val="00AC33EE"/>
    <w:rsid w:val="00AC3E9F"/>
    <w:rsid w:val="00AC44B1"/>
    <w:rsid w:val="00AC4524"/>
    <w:rsid w:val="00AC4B4E"/>
    <w:rsid w:val="00AC4C7D"/>
    <w:rsid w:val="00AC52AC"/>
    <w:rsid w:val="00AC55E6"/>
    <w:rsid w:val="00AC5B40"/>
    <w:rsid w:val="00AC5EF6"/>
    <w:rsid w:val="00AC6213"/>
    <w:rsid w:val="00AC66B4"/>
    <w:rsid w:val="00AC6731"/>
    <w:rsid w:val="00AC6943"/>
    <w:rsid w:val="00AC75EA"/>
    <w:rsid w:val="00AC7FB0"/>
    <w:rsid w:val="00AD0427"/>
    <w:rsid w:val="00AD0B5E"/>
    <w:rsid w:val="00AD0C79"/>
    <w:rsid w:val="00AD0DA6"/>
    <w:rsid w:val="00AD110A"/>
    <w:rsid w:val="00AD1198"/>
    <w:rsid w:val="00AD17B3"/>
    <w:rsid w:val="00AD2B71"/>
    <w:rsid w:val="00AD3106"/>
    <w:rsid w:val="00AD3267"/>
    <w:rsid w:val="00AD3CEB"/>
    <w:rsid w:val="00AD3E7A"/>
    <w:rsid w:val="00AD551F"/>
    <w:rsid w:val="00AD62BC"/>
    <w:rsid w:val="00AD636C"/>
    <w:rsid w:val="00AD7592"/>
    <w:rsid w:val="00AD799F"/>
    <w:rsid w:val="00AD79AC"/>
    <w:rsid w:val="00AE02F2"/>
    <w:rsid w:val="00AE0864"/>
    <w:rsid w:val="00AE1833"/>
    <w:rsid w:val="00AE1E40"/>
    <w:rsid w:val="00AE1EC5"/>
    <w:rsid w:val="00AE27C7"/>
    <w:rsid w:val="00AE3643"/>
    <w:rsid w:val="00AE3CA9"/>
    <w:rsid w:val="00AE3CDC"/>
    <w:rsid w:val="00AE3FA0"/>
    <w:rsid w:val="00AE448C"/>
    <w:rsid w:val="00AE4841"/>
    <w:rsid w:val="00AE4BD8"/>
    <w:rsid w:val="00AE4DE3"/>
    <w:rsid w:val="00AE5360"/>
    <w:rsid w:val="00AE58C4"/>
    <w:rsid w:val="00AE5EDB"/>
    <w:rsid w:val="00AE62CA"/>
    <w:rsid w:val="00AE63A5"/>
    <w:rsid w:val="00AE6771"/>
    <w:rsid w:val="00AE67BB"/>
    <w:rsid w:val="00AE6F78"/>
    <w:rsid w:val="00AE7E1F"/>
    <w:rsid w:val="00AF0D63"/>
    <w:rsid w:val="00AF0FC3"/>
    <w:rsid w:val="00AF112F"/>
    <w:rsid w:val="00AF1A70"/>
    <w:rsid w:val="00AF2721"/>
    <w:rsid w:val="00AF2921"/>
    <w:rsid w:val="00AF2B8A"/>
    <w:rsid w:val="00AF337F"/>
    <w:rsid w:val="00AF3FA9"/>
    <w:rsid w:val="00AF4449"/>
    <w:rsid w:val="00AF46A3"/>
    <w:rsid w:val="00AF4A08"/>
    <w:rsid w:val="00AF4F07"/>
    <w:rsid w:val="00AF54FF"/>
    <w:rsid w:val="00AF623A"/>
    <w:rsid w:val="00AF6965"/>
    <w:rsid w:val="00AF6DDB"/>
    <w:rsid w:val="00AF6F1F"/>
    <w:rsid w:val="00AF71C3"/>
    <w:rsid w:val="00AF7486"/>
    <w:rsid w:val="00AF76CD"/>
    <w:rsid w:val="00AF7717"/>
    <w:rsid w:val="00AF7ECC"/>
    <w:rsid w:val="00B005AC"/>
    <w:rsid w:val="00B00AE1"/>
    <w:rsid w:val="00B00BC6"/>
    <w:rsid w:val="00B01284"/>
    <w:rsid w:val="00B019C8"/>
    <w:rsid w:val="00B01B59"/>
    <w:rsid w:val="00B01D4B"/>
    <w:rsid w:val="00B02599"/>
    <w:rsid w:val="00B02B23"/>
    <w:rsid w:val="00B037FF"/>
    <w:rsid w:val="00B039A7"/>
    <w:rsid w:val="00B03E6E"/>
    <w:rsid w:val="00B04016"/>
    <w:rsid w:val="00B04560"/>
    <w:rsid w:val="00B04C5E"/>
    <w:rsid w:val="00B04E3A"/>
    <w:rsid w:val="00B0530F"/>
    <w:rsid w:val="00B05476"/>
    <w:rsid w:val="00B0556D"/>
    <w:rsid w:val="00B0562F"/>
    <w:rsid w:val="00B0569C"/>
    <w:rsid w:val="00B058C6"/>
    <w:rsid w:val="00B05E5B"/>
    <w:rsid w:val="00B0600C"/>
    <w:rsid w:val="00B06B76"/>
    <w:rsid w:val="00B07073"/>
    <w:rsid w:val="00B077D9"/>
    <w:rsid w:val="00B10197"/>
    <w:rsid w:val="00B10571"/>
    <w:rsid w:val="00B10857"/>
    <w:rsid w:val="00B1124B"/>
    <w:rsid w:val="00B113C4"/>
    <w:rsid w:val="00B11562"/>
    <w:rsid w:val="00B118CD"/>
    <w:rsid w:val="00B1250F"/>
    <w:rsid w:val="00B12B0C"/>
    <w:rsid w:val="00B14098"/>
    <w:rsid w:val="00B1453A"/>
    <w:rsid w:val="00B14A6C"/>
    <w:rsid w:val="00B15179"/>
    <w:rsid w:val="00B15794"/>
    <w:rsid w:val="00B15AFF"/>
    <w:rsid w:val="00B15B9B"/>
    <w:rsid w:val="00B15BD5"/>
    <w:rsid w:val="00B15C2D"/>
    <w:rsid w:val="00B15CA4"/>
    <w:rsid w:val="00B16107"/>
    <w:rsid w:val="00B165B2"/>
    <w:rsid w:val="00B166C5"/>
    <w:rsid w:val="00B1685D"/>
    <w:rsid w:val="00B1699B"/>
    <w:rsid w:val="00B16AFD"/>
    <w:rsid w:val="00B16B9E"/>
    <w:rsid w:val="00B16C7D"/>
    <w:rsid w:val="00B1781F"/>
    <w:rsid w:val="00B179D8"/>
    <w:rsid w:val="00B17A10"/>
    <w:rsid w:val="00B17C26"/>
    <w:rsid w:val="00B2043B"/>
    <w:rsid w:val="00B2048E"/>
    <w:rsid w:val="00B2050A"/>
    <w:rsid w:val="00B207AE"/>
    <w:rsid w:val="00B21400"/>
    <w:rsid w:val="00B2167A"/>
    <w:rsid w:val="00B21B9C"/>
    <w:rsid w:val="00B23089"/>
    <w:rsid w:val="00B232FD"/>
    <w:rsid w:val="00B237C4"/>
    <w:rsid w:val="00B23D7F"/>
    <w:rsid w:val="00B23DBE"/>
    <w:rsid w:val="00B23FA7"/>
    <w:rsid w:val="00B24142"/>
    <w:rsid w:val="00B25458"/>
    <w:rsid w:val="00B2567A"/>
    <w:rsid w:val="00B256AF"/>
    <w:rsid w:val="00B2671A"/>
    <w:rsid w:val="00B2675A"/>
    <w:rsid w:val="00B26D35"/>
    <w:rsid w:val="00B26E44"/>
    <w:rsid w:val="00B27123"/>
    <w:rsid w:val="00B27322"/>
    <w:rsid w:val="00B27BE8"/>
    <w:rsid w:val="00B27F5A"/>
    <w:rsid w:val="00B30280"/>
    <w:rsid w:val="00B303EB"/>
    <w:rsid w:val="00B30509"/>
    <w:rsid w:val="00B30969"/>
    <w:rsid w:val="00B30FE8"/>
    <w:rsid w:val="00B31074"/>
    <w:rsid w:val="00B31DC3"/>
    <w:rsid w:val="00B321AF"/>
    <w:rsid w:val="00B32428"/>
    <w:rsid w:val="00B33143"/>
    <w:rsid w:val="00B337DC"/>
    <w:rsid w:val="00B34346"/>
    <w:rsid w:val="00B35426"/>
    <w:rsid w:val="00B35ED6"/>
    <w:rsid w:val="00B360C4"/>
    <w:rsid w:val="00B36834"/>
    <w:rsid w:val="00B36A07"/>
    <w:rsid w:val="00B3703A"/>
    <w:rsid w:val="00B3775A"/>
    <w:rsid w:val="00B40350"/>
    <w:rsid w:val="00B41E01"/>
    <w:rsid w:val="00B42031"/>
    <w:rsid w:val="00B44856"/>
    <w:rsid w:val="00B44F9C"/>
    <w:rsid w:val="00B44FA5"/>
    <w:rsid w:val="00B45477"/>
    <w:rsid w:val="00B45AD8"/>
    <w:rsid w:val="00B45E73"/>
    <w:rsid w:val="00B45FDE"/>
    <w:rsid w:val="00B4610D"/>
    <w:rsid w:val="00B46165"/>
    <w:rsid w:val="00B461B7"/>
    <w:rsid w:val="00B468D7"/>
    <w:rsid w:val="00B469F8"/>
    <w:rsid w:val="00B46E3D"/>
    <w:rsid w:val="00B47D72"/>
    <w:rsid w:val="00B5023E"/>
    <w:rsid w:val="00B5055B"/>
    <w:rsid w:val="00B50862"/>
    <w:rsid w:val="00B508D1"/>
    <w:rsid w:val="00B50C9B"/>
    <w:rsid w:val="00B50CF6"/>
    <w:rsid w:val="00B510BF"/>
    <w:rsid w:val="00B51B1B"/>
    <w:rsid w:val="00B52C82"/>
    <w:rsid w:val="00B5345B"/>
    <w:rsid w:val="00B53502"/>
    <w:rsid w:val="00B53525"/>
    <w:rsid w:val="00B53D1C"/>
    <w:rsid w:val="00B53FE4"/>
    <w:rsid w:val="00B54BFC"/>
    <w:rsid w:val="00B54DA3"/>
    <w:rsid w:val="00B54F67"/>
    <w:rsid w:val="00B55379"/>
    <w:rsid w:val="00B556AE"/>
    <w:rsid w:val="00B55B69"/>
    <w:rsid w:val="00B5653F"/>
    <w:rsid w:val="00B57129"/>
    <w:rsid w:val="00B57564"/>
    <w:rsid w:val="00B576FE"/>
    <w:rsid w:val="00B61629"/>
    <w:rsid w:val="00B61815"/>
    <w:rsid w:val="00B61C5C"/>
    <w:rsid w:val="00B61C92"/>
    <w:rsid w:val="00B61EA1"/>
    <w:rsid w:val="00B61F10"/>
    <w:rsid w:val="00B621C1"/>
    <w:rsid w:val="00B623C8"/>
    <w:rsid w:val="00B6315B"/>
    <w:rsid w:val="00B634A5"/>
    <w:rsid w:val="00B6355C"/>
    <w:rsid w:val="00B63D3F"/>
    <w:rsid w:val="00B63E3C"/>
    <w:rsid w:val="00B63F69"/>
    <w:rsid w:val="00B644B8"/>
    <w:rsid w:val="00B64B1B"/>
    <w:rsid w:val="00B64C4A"/>
    <w:rsid w:val="00B65208"/>
    <w:rsid w:val="00B65451"/>
    <w:rsid w:val="00B65A2F"/>
    <w:rsid w:val="00B660DD"/>
    <w:rsid w:val="00B66DD4"/>
    <w:rsid w:val="00B67290"/>
    <w:rsid w:val="00B6731C"/>
    <w:rsid w:val="00B67CC3"/>
    <w:rsid w:val="00B70375"/>
    <w:rsid w:val="00B70378"/>
    <w:rsid w:val="00B70567"/>
    <w:rsid w:val="00B705F9"/>
    <w:rsid w:val="00B7085B"/>
    <w:rsid w:val="00B70C41"/>
    <w:rsid w:val="00B70C9F"/>
    <w:rsid w:val="00B70EAA"/>
    <w:rsid w:val="00B70FB5"/>
    <w:rsid w:val="00B71387"/>
    <w:rsid w:val="00B714F9"/>
    <w:rsid w:val="00B7214E"/>
    <w:rsid w:val="00B72851"/>
    <w:rsid w:val="00B72893"/>
    <w:rsid w:val="00B74D00"/>
    <w:rsid w:val="00B7565C"/>
    <w:rsid w:val="00B759D8"/>
    <w:rsid w:val="00B75C68"/>
    <w:rsid w:val="00B76985"/>
    <w:rsid w:val="00B771FA"/>
    <w:rsid w:val="00B77452"/>
    <w:rsid w:val="00B775CF"/>
    <w:rsid w:val="00B80983"/>
    <w:rsid w:val="00B80C7C"/>
    <w:rsid w:val="00B80F7B"/>
    <w:rsid w:val="00B818AA"/>
    <w:rsid w:val="00B81E1E"/>
    <w:rsid w:val="00B82138"/>
    <w:rsid w:val="00B8269A"/>
    <w:rsid w:val="00B82C47"/>
    <w:rsid w:val="00B82E79"/>
    <w:rsid w:val="00B8303B"/>
    <w:rsid w:val="00B83351"/>
    <w:rsid w:val="00B83407"/>
    <w:rsid w:val="00B836CC"/>
    <w:rsid w:val="00B836EC"/>
    <w:rsid w:val="00B836FE"/>
    <w:rsid w:val="00B8389D"/>
    <w:rsid w:val="00B84161"/>
    <w:rsid w:val="00B84310"/>
    <w:rsid w:val="00B84531"/>
    <w:rsid w:val="00B84B7A"/>
    <w:rsid w:val="00B86B49"/>
    <w:rsid w:val="00B86B51"/>
    <w:rsid w:val="00B86D1F"/>
    <w:rsid w:val="00B86E4D"/>
    <w:rsid w:val="00B90662"/>
    <w:rsid w:val="00B9067D"/>
    <w:rsid w:val="00B9072C"/>
    <w:rsid w:val="00B9110C"/>
    <w:rsid w:val="00B9130A"/>
    <w:rsid w:val="00B91847"/>
    <w:rsid w:val="00B91C2A"/>
    <w:rsid w:val="00B9218D"/>
    <w:rsid w:val="00B9296A"/>
    <w:rsid w:val="00B92F64"/>
    <w:rsid w:val="00B95131"/>
    <w:rsid w:val="00B95585"/>
    <w:rsid w:val="00B958E3"/>
    <w:rsid w:val="00B95A05"/>
    <w:rsid w:val="00B95CF4"/>
    <w:rsid w:val="00B95D41"/>
    <w:rsid w:val="00B965BF"/>
    <w:rsid w:val="00B96BFA"/>
    <w:rsid w:val="00BA0544"/>
    <w:rsid w:val="00BA120C"/>
    <w:rsid w:val="00BA4636"/>
    <w:rsid w:val="00BA4B8D"/>
    <w:rsid w:val="00BA56BB"/>
    <w:rsid w:val="00BA5B6D"/>
    <w:rsid w:val="00BA5E49"/>
    <w:rsid w:val="00BA5ED9"/>
    <w:rsid w:val="00BA635B"/>
    <w:rsid w:val="00BA669B"/>
    <w:rsid w:val="00BA6ED5"/>
    <w:rsid w:val="00BA7371"/>
    <w:rsid w:val="00BA7374"/>
    <w:rsid w:val="00BA754B"/>
    <w:rsid w:val="00BA78A1"/>
    <w:rsid w:val="00BA7A66"/>
    <w:rsid w:val="00BA7AFB"/>
    <w:rsid w:val="00BA7D9F"/>
    <w:rsid w:val="00BA7FFA"/>
    <w:rsid w:val="00BB0705"/>
    <w:rsid w:val="00BB1549"/>
    <w:rsid w:val="00BB1AFB"/>
    <w:rsid w:val="00BB1D8F"/>
    <w:rsid w:val="00BB263A"/>
    <w:rsid w:val="00BB2A56"/>
    <w:rsid w:val="00BB3D44"/>
    <w:rsid w:val="00BB4D46"/>
    <w:rsid w:val="00BB59E2"/>
    <w:rsid w:val="00BB67F4"/>
    <w:rsid w:val="00BB68F9"/>
    <w:rsid w:val="00BB69C3"/>
    <w:rsid w:val="00BB69E3"/>
    <w:rsid w:val="00BB6AD9"/>
    <w:rsid w:val="00BB7190"/>
    <w:rsid w:val="00BB73DC"/>
    <w:rsid w:val="00BB77DD"/>
    <w:rsid w:val="00BC01DF"/>
    <w:rsid w:val="00BC0562"/>
    <w:rsid w:val="00BC2031"/>
    <w:rsid w:val="00BC3694"/>
    <w:rsid w:val="00BC3875"/>
    <w:rsid w:val="00BC3FF0"/>
    <w:rsid w:val="00BC4111"/>
    <w:rsid w:val="00BC4301"/>
    <w:rsid w:val="00BC432B"/>
    <w:rsid w:val="00BC4CEB"/>
    <w:rsid w:val="00BC5D98"/>
    <w:rsid w:val="00BC5EB4"/>
    <w:rsid w:val="00BC70A5"/>
    <w:rsid w:val="00BC742A"/>
    <w:rsid w:val="00BC7E3E"/>
    <w:rsid w:val="00BD01D6"/>
    <w:rsid w:val="00BD0209"/>
    <w:rsid w:val="00BD03C2"/>
    <w:rsid w:val="00BD0F78"/>
    <w:rsid w:val="00BD1273"/>
    <w:rsid w:val="00BD1287"/>
    <w:rsid w:val="00BD12FC"/>
    <w:rsid w:val="00BD14BF"/>
    <w:rsid w:val="00BD16BF"/>
    <w:rsid w:val="00BD18D3"/>
    <w:rsid w:val="00BD1EBB"/>
    <w:rsid w:val="00BD1F5B"/>
    <w:rsid w:val="00BD27E0"/>
    <w:rsid w:val="00BD2EE1"/>
    <w:rsid w:val="00BD318B"/>
    <w:rsid w:val="00BD41FE"/>
    <w:rsid w:val="00BD437A"/>
    <w:rsid w:val="00BD44CB"/>
    <w:rsid w:val="00BD4C95"/>
    <w:rsid w:val="00BD5185"/>
    <w:rsid w:val="00BD51B2"/>
    <w:rsid w:val="00BD5DD8"/>
    <w:rsid w:val="00BD623C"/>
    <w:rsid w:val="00BD66B0"/>
    <w:rsid w:val="00BD6CAB"/>
    <w:rsid w:val="00BD6CB8"/>
    <w:rsid w:val="00BD6E52"/>
    <w:rsid w:val="00BD7A61"/>
    <w:rsid w:val="00BE00B6"/>
    <w:rsid w:val="00BE0835"/>
    <w:rsid w:val="00BE0999"/>
    <w:rsid w:val="00BE0BAC"/>
    <w:rsid w:val="00BE1D52"/>
    <w:rsid w:val="00BE1FF6"/>
    <w:rsid w:val="00BE251A"/>
    <w:rsid w:val="00BE2BB0"/>
    <w:rsid w:val="00BE36A9"/>
    <w:rsid w:val="00BE3E6B"/>
    <w:rsid w:val="00BE4508"/>
    <w:rsid w:val="00BE48CC"/>
    <w:rsid w:val="00BE49A0"/>
    <w:rsid w:val="00BE4A47"/>
    <w:rsid w:val="00BE4EF7"/>
    <w:rsid w:val="00BE5010"/>
    <w:rsid w:val="00BE52F4"/>
    <w:rsid w:val="00BE53F6"/>
    <w:rsid w:val="00BE5437"/>
    <w:rsid w:val="00BE56EF"/>
    <w:rsid w:val="00BE62BE"/>
    <w:rsid w:val="00BE69FC"/>
    <w:rsid w:val="00BE6AD6"/>
    <w:rsid w:val="00BE707F"/>
    <w:rsid w:val="00BF094D"/>
    <w:rsid w:val="00BF0E0F"/>
    <w:rsid w:val="00BF113A"/>
    <w:rsid w:val="00BF13DA"/>
    <w:rsid w:val="00BF1FEF"/>
    <w:rsid w:val="00BF2AD4"/>
    <w:rsid w:val="00BF30EB"/>
    <w:rsid w:val="00BF31D3"/>
    <w:rsid w:val="00BF3D17"/>
    <w:rsid w:val="00BF3E22"/>
    <w:rsid w:val="00BF4E74"/>
    <w:rsid w:val="00BF4FE1"/>
    <w:rsid w:val="00BF60CD"/>
    <w:rsid w:val="00BF60F3"/>
    <w:rsid w:val="00BF6B53"/>
    <w:rsid w:val="00BF7BBB"/>
    <w:rsid w:val="00BF7F11"/>
    <w:rsid w:val="00C003B9"/>
    <w:rsid w:val="00C00531"/>
    <w:rsid w:val="00C00A0C"/>
    <w:rsid w:val="00C012BF"/>
    <w:rsid w:val="00C0194F"/>
    <w:rsid w:val="00C023DF"/>
    <w:rsid w:val="00C025A9"/>
    <w:rsid w:val="00C02A8D"/>
    <w:rsid w:val="00C039A6"/>
    <w:rsid w:val="00C03B5A"/>
    <w:rsid w:val="00C03CA8"/>
    <w:rsid w:val="00C03D46"/>
    <w:rsid w:val="00C045AC"/>
    <w:rsid w:val="00C047E9"/>
    <w:rsid w:val="00C04889"/>
    <w:rsid w:val="00C048B8"/>
    <w:rsid w:val="00C04F1E"/>
    <w:rsid w:val="00C053C1"/>
    <w:rsid w:val="00C0592D"/>
    <w:rsid w:val="00C06549"/>
    <w:rsid w:val="00C06663"/>
    <w:rsid w:val="00C06724"/>
    <w:rsid w:val="00C067BB"/>
    <w:rsid w:val="00C07F26"/>
    <w:rsid w:val="00C07FDC"/>
    <w:rsid w:val="00C10940"/>
    <w:rsid w:val="00C116AF"/>
    <w:rsid w:val="00C1195F"/>
    <w:rsid w:val="00C128EB"/>
    <w:rsid w:val="00C1366D"/>
    <w:rsid w:val="00C13CD3"/>
    <w:rsid w:val="00C13D7A"/>
    <w:rsid w:val="00C1471A"/>
    <w:rsid w:val="00C147C0"/>
    <w:rsid w:val="00C14C58"/>
    <w:rsid w:val="00C15361"/>
    <w:rsid w:val="00C157E7"/>
    <w:rsid w:val="00C1593D"/>
    <w:rsid w:val="00C16192"/>
    <w:rsid w:val="00C1644F"/>
    <w:rsid w:val="00C1655A"/>
    <w:rsid w:val="00C168A2"/>
    <w:rsid w:val="00C16C31"/>
    <w:rsid w:val="00C16CEC"/>
    <w:rsid w:val="00C17AB0"/>
    <w:rsid w:val="00C2089B"/>
    <w:rsid w:val="00C20AEF"/>
    <w:rsid w:val="00C2128E"/>
    <w:rsid w:val="00C219C0"/>
    <w:rsid w:val="00C21F31"/>
    <w:rsid w:val="00C2223C"/>
    <w:rsid w:val="00C2247C"/>
    <w:rsid w:val="00C2264B"/>
    <w:rsid w:val="00C227F5"/>
    <w:rsid w:val="00C23023"/>
    <w:rsid w:val="00C24035"/>
    <w:rsid w:val="00C24201"/>
    <w:rsid w:val="00C24437"/>
    <w:rsid w:val="00C24455"/>
    <w:rsid w:val="00C24945"/>
    <w:rsid w:val="00C2494D"/>
    <w:rsid w:val="00C252B5"/>
    <w:rsid w:val="00C25581"/>
    <w:rsid w:val="00C255E3"/>
    <w:rsid w:val="00C2577E"/>
    <w:rsid w:val="00C25919"/>
    <w:rsid w:val="00C25948"/>
    <w:rsid w:val="00C265A1"/>
    <w:rsid w:val="00C26DE8"/>
    <w:rsid w:val="00C26F43"/>
    <w:rsid w:val="00C27B7E"/>
    <w:rsid w:val="00C3007F"/>
    <w:rsid w:val="00C3058F"/>
    <w:rsid w:val="00C3082C"/>
    <w:rsid w:val="00C3195E"/>
    <w:rsid w:val="00C319F9"/>
    <w:rsid w:val="00C31E1F"/>
    <w:rsid w:val="00C32156"/>
    <w:rsid w:val="00C3217D"/>
    <w:rsid w:val="00C321C5"/>
    <w:rsid w:val="00C324BD"/>
    <w:rsid w:val="00C3276A"/>
    <w:rsid w:val="00C33490"/>
    <w:rsid w:val="00C338F6"/>
    <w:rsid w:val="00C3450C"/>
    <w:rsid w:val="00C3466F"/>
    <w:rsid w:val="00C35185"/>
    <w:rsid w:val="00C3546F"/>
    <w:rsid w:val="00C36127"/>
    <w:rsid w:val="00C3637B"/>
    <w:rsid w:val="00C3655F"/>
    <w:rsid w:val="00C3751B"/>
    <w:rsid w:val="00C37694"/>
    <w:rsid w:val="00C37746"/>
    <w:rsid w:val="00C407F4"/>
    <w:rsid w:val="00C40BC1"/>
    <w:rsid w:val="00C411A6"/>
    <w:rsid w:val="00C4122D"/>
    <w:rsid w:val="00C42A64"/>
    <w:rsid w:val="00C431D9"/>
    <w:rsid w:val="00C433B7"/>
    <w:rsid w:val="00C43E1B"/>
    <w:rsid w:val="00C4504D"/>
    <w:rsid w:val="00C458AE"/>
    <w:rsid w:val="00C4661F"/>
    <w:rsid w:val="00C4682B"/>
    <w:rsid w:val="00C47278"/>
    <w:rsid w:val="00C47415"/>
    <w:rsid w:val="00C4744F"/>
    <w:rsid w:val="00C476AF"/>
    <w:rsid w:val="00C47B9F"/>
    <w:rsid w:val="00C47CEC"/>
    <w:rsid w:val="00C47EBE"/>
    <w:rsid w:val="00C5050E"/>
    <w:rsid w:val="00C518C3"/>
    <w:rsid w:val="00C52369"/>
    <w:rsid w:val="00C52537"/>
    <w:rsid w:val="00C52ABC"/>
    <w:rsid w:val="00C531D0"/>
    <w:rsid w:val="00C53A4A"/>
    <w:rsid w:val="00C53DE0"/>
    <w:rsid w:val="00C54CF8"/>
    <w:rsid w:val="00C54E10"/>
    <w:rsid w:val="00C557D2"/>
    <w:rsid w:val="00C55C60"/>
    <w:rsid w:val="00C5663E"/>
    <w:rsid w:val="00C570B5"/>
    <w:rsid w:val="00C57576"/>
    <w:rsid w:val="00C57736"/>
    <w:rsid w:val="00C60735"/>
    <w:rsid w:val="00C609DC"/>
    <w:rsid w:val="00C61188"/>
    <w:rsid w:val="00C614DB"/>
    <w:rsid w:val="00C62329"/>
    <w:rsid w:val="00C6246A"/>
    <w:rsid w:val="00C6269D"/>
    <w:rsid w:val="00C632FF"/>
    <w:rsid w:val="00C633AC"/>
    <w:rsid w:val="00C63FED"/>
    <w:rsid w:val="00C64067"/>
    <w:rsid w:val="00C64627"/>
    <w:rsid w:val="00C646CE"/>
    <w:rsid w:val="00C6502A"/>
    <w:rsid w:val="00C65FE7"/>
    <w:rsid w:val="00C66432"/>
    <w:rsid w:val="00C66744"/>
    <w:rsid w:val="00C66822"/>
    <w:rsid w:val="00C66C40"/>
    <w:rsid w:val="00C67564"/>
    <w:rsid w:val="00C67B1E"/>
    <w:rsid w:val="00C67B7C"/>
    <w:rsid w:val="00C7040D"/>
    <w:rsid w:val="00C708DD"/>
    <w:rsid w:val="00C714A9"/>
    <w:rsid w:val="00C724B8"/>
    <w:rsid w:val="00C728A5"/>
    <w:rsid w:val="00C72F16"/>
    <w:rsid w:val="00C737BA"/>
    <w:rsid w:val="00C73C7F"/>
    <w:rsid w:val="00C73D14"/>
    <w:rsid w:val="00C74124"/>
    <w:rsid w:val="00C74777"/>
    <w:rsid w:val="00C75132"/>
    <w:rsid w:val="00C75B6A"/>
    <w:rsid w:val="00C75DCB"/>
    <w:rsid w:val="00C76015"/>
    <w:rsid w:val="00C760C3"/>
    <w:rsid w:val="00C763C9"/>
    <w:rsid w:val="00C7646D"/>
    <w:rsid w:val="00C769BE"/>
    <w:rsid w:val="00C76B83"/>
    <w:rsid w:val="00C76DDC"/>
    <w:rsid w:val="00C77039"/>
    <w:rsid w:val="00C77430"/>
    <w:rsid w:val="00C7748F"/>
    <w:rsid w:val="00C775C6"/>
    <w:rsid w:val="00C77DDC"/>
    <w:rsid w:val="00C77E0F"/>
    <w:rsid w:val="00C77E11"/>
    <w:rsid w:val="00C77EF4"/>
    <w:rsid w:val="00C809DF"/>
    <w:rsid w:val="00C80A30"/>
    <w:rsid w:val="00C81145"/>
    <w:rsid w:val="00C81370"/>
    <w:rsid w:val="00C81702"/>
    <w:rsid w:val="00C81960"/>
    <w:rsid w:val="00C8208C"/>
    <w:rsid w:val="00C824A2"/>
    <w:rsid w:val="00C82D56"/>
    <w:rsid w:val="00C83562"/>
    <w:rsid w:val="00C83D38"/>
    <w:rsid w:val="00C83F6B"/>
    <w:rsid w:val="00C8463E"/>
    <w:rsid w:val="00C84ACC"/>
    <w:rsid w:val="00C84C35"/>
    <w:rsid w:val="00C84DF6"/>
    <w:rsid w:val="00C850F0"/>
    <w:rsid w:val="00C85115"/>
    <w:rsid w:val="00C854FD"/>
    <w:rsid w:val="00C86072"/>
    <w:rsid w:val="00C864CF"/>
    <w:rsid w:val="00C86CA7"/>
    <w:rsid w:val="00C86E16"/>
    <w:rsid w:val="00C87AE7"/>
    <w:rsid w:val="00C900CA"/>
    <w:rsid w:val="00C90173"/>
    <w:rsid w:val="00C905D8"/>
    <w:rsid w:val="00C90EEF"/>
    <w:rsid w:val="00C91395"/>
    <w:rsid w:val="00C915D9"/>
    <w:rsid w:val="00C9180C"/>
    <w:rsid w:val="00C91F44"/>
    <w:rsid w:val="00C92AA5"/>
    <w:rsid w:val="00C92D21"/>
    <w:rsid w:val="00C92DDB"/>
    <w:rsid w:val="00C93221"/>
    <w:rsid w:val="00C93439"/>
    <w:rsid w:val="00C94044"/>
    <w:rsid w:val="00C94222"/>
    <w:rsid w:val="00C949BB"/>
    <w:rsid w:val="00C949CF"/>
    <w:rsid w:val="00C94CDC"/>
    <w:rsid w:val="00C9528C"/>
    <w:rsid w:val="00C95A66"/>
    <w:rsid w:val="00C95CD9"/>
    <w:rsid w:val="00C966EC"/>
    <w:rsid w:val="00C96816"/>
    <w:rsid w:val="00C96A86"/>
    <w:rsid w:val="00C96D8E"/>
    <w:rsid w:val="00C96EF5"/>
    <w:rsid w:val="00C974F7"/>
    <w:rsid w:val="00C9762C"/>
    <w:rsid w:val="00CA0E37"/>
    <w:rsid w:val="00CA16C8"/>
    <w:rsid w:val="00CA1810"/>
    <w:rsid w:val="00CA1942"/>
    <w:rsid w:val="00CA1A67"/>
    <w:rsid w:val="00CA1DD2"/>
    <w:rsid w:val="00CA229B"/>
    <w:rsid w:val="00CA26B2"/>
    <w:rsid w:val="00CA29CB"/>
    <w:rsid w:val="00CA2B68"/>
    <w:rsid w:val="00CA3010"/>
    <w:rsid w:val="00CA3F99"/>
    <w:rsid w:val="00CA43DA"/>
    <w:rsid w:val="00CA4C12"/>
    <w:rsid w:val="00CA5249"/>
    <w:rsid w:val="00CA5A43"/>
    <w:rsid w:val="00CA5D36"/>
    <w:rsid w:val="00CA6293"/>
    <w:rsid w:val="00CA65C9"/>
    <w:rsid w:val="00CA67D5"/>
    <w:rsid w:val="00CA6DCD"/>
    <w:rsid w:val="00CA6E5A"/>
    <w:rsid w:val="00CA744E"/>
    <w:rsid w:val="00CB07AF"/>
    <w:rsid w:val="00CB08AD"/>
    <w:rsid w:val="00CB10C3"/>
    <w:rsid w:val="00CB19CE"/>
    <w:rsid w:val="00CB2577"/>
    <w:rsid w:val="00CB286A"/>
    <w:rsid w:val="00CB2BB7"/>
    <w:rsid w:val="00CB2E2D"/>
    <w:rsid w:val="00CB3DDB"/>
    <w:rsid w:val="00CB43ED"/>
    <w:rsid w:val="00CB49EF"/>
    <w:rsid w:val="00CB4AA5"/>
    <w:rsid w:val="00CB4D30"/>
    <w:rsid w:val="00CB58D4"/>
    <w:rsid w:val="00CB7477"/>
    <w:rsid w:val="00CB764D"/>
    <w:rsid w:val="00CB77A7"/>
    <w:rsid w:val="00CB7D4D"/>
    <w:rsid w:val="00CB7F32"/>
    <w:rsid w:val="00CC01DB"/>
    <w:rsid w:val="00CC0246"/>
    <w:rsid w:val="00CC14B8"/>
    <w:rsid w:val="00CC1AC1"/>
    <w:rsid w:val="00CC1F7E"/>
    <w:rsid w:val="00CC22D1"/>
    <w:rsid w:val="00CC237C"/>
    <w:rsid w:val="00CC274B"/>
    <w:rsid w:val="00CC2BFE"/>
    <w:rsid w:val="00CC2F02"/>
    <w:rsid w:val="00CC2FFF"/>
    <w:rsid w:val="00CC3104"/>
    <w:rsid w:val="00CC47FC"/>
    <w:rsid w:val="00CC4DA4"/>
    <w:rsid w:val="00CC56E1"/>
    <w:rsid w:val="00CC5751"/>
    <w:rsid w:val="00CC5AB1"/>
    <w:rsid w:val="00CC61DA"/>
    <w:rsid w:val="00CC631D"/>
    <w:rsid w:val="00CC63B7"/>
    <w:rsid w:val="00CC66B8"/>
    <w:rsid w:val="00CC6D90"/>
    <w:rsid w:val="00CC77E1"/>
    <w:rsid w:val="00CD0A41"/>
    <w:rsid w:val="00CD1260"/>
    <w:rsid w:val="00CD151D"/>
    <w:rsid w:val="00CD1609"/>
    <w:rsid w:val="00CD177B"/>
    <w:rsid w:val="00CD1A66"/>
    <w:rsid w:val="00CD2096"/>
    <w:rsid w:val="00CD20D0"/>
    <w:rsid w:val="00CD273D"/>
    <w:rsid w:val="00CD28E0"/>
    <w:rsid w:val="00CD3443"/>
    <w:rsid w:val="00CD346F"/>
    <w:rsid w:val="00CD44A5"/>
    <w:rsid w:val="00CD44DF"/>
    <w:rsid w:val="00CD461B"/>
    <w:rsid w:val="00CD4C4D"/>
    <w:rsid w:val="00CD5168"/>
    <w:rsid w:val="00CD58C3"/>
    <w:rsid w:val="00CD596E"/>
    <w:rsid w:val="00CD62DA"/>
    <w:rsid w:val="00CD6350"/>
    <w:rsid w:val="00CD645A"/>
    <w:rsid w:val="00CD685C"/>
    <w:rsid w:val="00CD6B21"/>
    <w:rsid w:val="00CD6BDF"/>
    <w:rsid w:val="00CD6C04"/>
    <w:rsid w:val="00CD6E53"/>
    <w:rsid w:val="00CD7781"/>
    <w:rsid w:val="00CE149C"/>
    <w:rsid w:val="00CE1E08"/>
    <w:rsid w:val="00CE2140"/>
    <w:rsid w:val="00CE2169"/>
    <w:rsid w:val="00CE2187"/>
    <w:rsid w:val="00CE2453"/>
    <w:rsid w:val="00CE251C"/>
    <w:rsid w:val="00CE2B08"/>
    <w:rsid w:val="00CE3389"/>
    <w:rsid w:val="00CE37AA"/>
    <w:rsid w:val="00CE391E"/>
    <w:rsid w:val="00CE3F64"/>
    <w:rsid w:val="00CE4472"/>
    <w:rsid w:val="00CE467E"/>
    <w:rsid w:val="00CE4A96"/>
    <w:rsid w:val="00CE4AFA"/>
    <w:rsid w:val="00CE63C1"/>
    <w:rsid w:val="00CE66C9"/>
    <w:rsid w:val="00CE6D71"/>
    <w:rsid w:val="00CE70F5"/>
    <w:rsid w:val="00CE7197"/>
    <w:rsid w:val="00CE7211"/>
    <w:rsid w:val="00CE7511"/>
    <w:rsid w:val="00CE782B"/>
    <w:rsid w:val="00CF004B"/>
    <w:rsid w:val="00CF0583"/>
    <w:rsid w:val="00CF0AAA"/>
    <w:rsid w:val="00CF1038"/>
    <w:rsid w:val="00CF1117"/>
    <w:rsid w:val="00CF18A5"/>
    <w:rsid w:val="00CF18AE"/>
    <w:rsid w:val="00CF1C78"/>
    <w:rsid w:val="00CF23B5"/>
    <w:rsid w:val="00CF2F03"/>
    <w:rsid w:val="00CF3623"/>
    <w:rsid w:val="00CF36A3"/>
    <w:rsid w:val="00CF4463"/>
    <w:rsid w:val="00CF4586"/>
    <w:rsid w:val="00CF471D"/>
    <w:rsid w:val="00CF4730"/>
    <w:rsid w:val="00CF4C50"/>
    <w:rsid w:val="00CF5398"/>
    <w:rsid w:val="00CF637B"/>
    <w:rsid w:val="00CF6770"/>
    <w:rsid w:val="00CF6A40"/>
    <w:rsid w:val="00CF6D13"/>
    <w:rsid w:val="00CF732D"/>
    <w:rsid w:val="00CF742B"/>
    <w:rsid w:val="00CF76DD"/>
    <w:rsid w:val="00CF7783"/>
    <w:rsid w:val="00CF7844"/>
    <w:rsid w:val="00CF7DE4"/>
    <w:rsid w:val="00D00474"/>
    <w:rsid w:val="00D0060C"/>
    <w:rsid w:val="00D00BC1"/>
    <w:rsid w:val="00D011EB"/>
    <w:rsid w:val="00D01762"/>
    <w:rsid w:val="00D02E87"/>
    <w:rsid w:val="00D02EA7"/>
    <w:rsid w:val="00D033B0"/>
    <w:rsid w:val="00D03826"/>
    <w:rsid w:val="00D03B09"/>
    <w:rsid w:val="00D03EB1"/>
    <w:rsid w:val="00D045EB"/>
    <w:rsid w:val="00D04A25"/>
    <w:rsid w:val="00D04F16"/>
    <w:rsid w:val="00D05B2A"/>
    <w:rsid w:val="00D05C75"/>
    <w:rsid w:val="00D073CC"/>
    <w:rsid w:val="00D079A3"/>
    <w:rsid w:val="00D07D8C"/>
    <w:rsid w:val="00D07E07"/>
    <w:rsid w:val="00D07E6D"/>
    <w:rsid w:val="00D10546"/>
    <w:rsid w:val="00D107D4"/>
    <w:rsid w:val="00D10835"/>
    <w:rsid w:val="00D1094D"/>
    <w:rsid w:val="00D10A12"/>
    <w:rsid w:val="00D10F09"/>
    <w:rsid w:val="00D10F2B"/>
    <w:rsid w:val="00D10FD0"/>
    <w:rsid w:val="00D11286"/>
    <w:rsid w:val="00D1129D"/>
    <w:rsid w:val="00D11D32"/>
    <w:rsid w:val="00D1210B"/>
    <w:rsid w:val="00D12626"/>
    <w:rsid w:val="00D1281F"/>
    <w:rsid w:val="00D1420C"/>
    <w:rsid w:val="00D146B4"/>
    <w:rsid w:val="00D14F69"/>
    <w:rsid w:val="00D153E9"/>
    <w:rsid w:val="00D15FAE"/>
    <w:rsid w:val="00D1658D"/>
    <w:rsid w:val="00D165D6"/>
    <w:rsid w:val="00D16C8C"/>
    <w:rsid w:val="00D16CCD"/>
    <w:rsid w:val="00D170DF"/>
    <w:rsid w:val="00D173F0"/>
    <w:rsid w:val="00D17898"/>
    <w:rsid w:val="00D17D63"/>
    <w:rsid w:val="00D20E83"/>
    <w:rsid w:val="00D2136F"/>
    <w:rsid w:val="00D213A0"/>
    <w:rsid w:val="00D21AD7"/>
    <w:rsid w:val="00D21DBF"/>
    <w:rsid w:val="00D22579"/>
    <w:rsid w:val="00D22623"/>
    <w:rsid w:val="00D22C6E"/>
    <w:rsid w:val="00D23362"/>
    <w:rsid w:val="00D23504"/>
    <w:rsid w:val="00D23EF8"/>
    <w:rsid w:val="00D24B23"/>
    <w:rsid w:val="00D24F08"/>
    <w:rsid w:val="00D25691"/>
    <w:rsid w:val="00D25B4B"/>
    <w:rsid w:val="00D2643D"/>
    <w:rsid w:val="00D26789"/>
    <w:rsid w:val="00D26C5B"/>
    <w:rsid w:val="00D26E16"/>
    <w:rsid w:val="00D27443"/>
    <w:rsid w:val="00D30129"/>
    <w:rsid w:val="00D307ED"/>
    <w:rsid w:val="00D30B23"/>
    <w:rsid w:val="00D32707"/>
    <w:rsid w:val="00D32864"/>
    <w:rsid w:val="00D3324C"/>
    <w:rsid w:val="00D336C6"/>
    <w:rsid w:val="00D33B8A"/>
    <w:rsid w:val="00D33D2A"/>
    <w:rsid w:val="00D33EE6"/>
    <w:rsid w:val="00D3468D"/>
    <w:rsid w:val="00D35CB3"/>
    <w:rsid w:val="00D362C5"/>
    <w:rsid w:val="00D3779D"/>
    <w:rsid w:val="00D37C8F"/>
    <w:rsid w:val="00D37E00"/>
    <w:rsid w:val="00D4059B"/>
    <w:rsid w:val="00D405BA"/>
    <w:rsid w:val="00D40F4F"/>
    <w:rsid w:val="00D40F7E"/>
    <w:rsid w:val="00D4187C"/>
    <w:rsid w:val="00D41C3B"/>
    <w:rsid w:val="00D422B3"/>
    <w:rsid w:val="00D428DB"/>
    <w:rsid w:val="00D428ED"/>
    <w:rsid w:val="00D431C0"/>
    <w:rsid w:val="00D438B2"/>
    <w:rsid w:val="00D43ED8"/>
    <w:rsid w:val="00D447EC"/>
    <w:rsid w:val="00D44A87"/>
    <w:rsid w:val="00D44B13"/>
    <w:rsid w:val="00D44BCB"/>
    <w:rsid w:val="00D44D84"/>
    <w:rsid w:val="00D44EBA"/>
    <w:rsid w:val="00D45032"/>
    <w:rsid w:val="00D45D6C"/>
    <w:rsid w:val="00D461A0"/>
    <w:rsid w:val="00D468A9"/>
    <w:rsid w:val="00D4692A"/>
    <w:rsid w:val="00D47194"/>
    <w:rsid w:val="00D47F5D"/>
    <w:rsid w:val="00D47F91"/>
    <w:rsid w:val="00D5035A"/>
    <w:rsid w:val="00D50CB9"/>
    <w:rsid w:val="00D510F5"/>
    <w:rsid w:val="00D517D8"/>
    <w:rsid w:val="00D51D3A"/>
    <w:rsid w:val="00D521A8"/>
    <w:rsid w:val="00D523A5"/>
    <w:rsid w:val="00D52FF1"/>
    <w:rsid w:val="00D5314B"/>
    <w:rsid w:val="00D532C8"/>
    <w:rsid w:val="00D535A6"/>
    <w:rsid w:val="00D535FC"/>
    <w:rsid w:val="00D53A0E"/>
    <w:rsid w:val="00D53B72"/>
    <w:rsid w:val="00D53E80"/>
    <w:rsid w:val="00D544F6"/>
    <w:rsid w:val="00D54D4C"/>
    <w:rsid w:val="00D54F58"/>
    <w:rsid w:val="00D54FE4"/>
    <w:rsid w:val="00D5553D"/>
    <w:rsid w:val="00D55C1E"/>
    <w:rsid w:val="00D55D10"/>
    <w:rsid w:val="00D55E1B"/>
    <w:rsid w:val="00D5676F"/>
    <w:rsid w:val="00D57227"/>
    <w:rsid w:val="00D6010B"/>
    <w:rsid w:val="00D609C7"/>
    <w:rsid w:val="00D60F5C"/>
    <w:rsid w:val="00D61785"/>
    <w:rsid w:val="00D617D1"/>
    <w:rsid w:val="00D618DA"/>
    <w:rsid w:val="00D61A3B"/>
    <w:rsid w:val="00D62122"/>
    <w:rsid w:val="00D62DDF"/>
    <w:rsid w:val="00D62E6E"/>
    <w:rsid w:val="00D63106"/>
    <w:rsid w:val="00D6314D"/>
    <w:rsid w:val="00D63CCB"/>
    <w:rsid w:val="00D6411A"/>
    <w:rsid w:val="00D641EA"/>
    <w:rsid w:val="00D6463D"/>
    <w:rsid w:val="00D64798"/>
    <w:rsid w:val="00D64D05"/>
    <w:rsid w:val="00D6562A"/>
    <w:rsid w:val="00D66426"/>
    <w:rsid w:val="00D664E7"/>
    <w:rsid w:val="00D66C03"/>
    <w:rsid w:val="00D672A7"/>
    <w:rsid w:val="00D67D55"/>
    <w:rsid w:val="00D67FD0"/>
    <w:rsid w:val="00D721F3"/>
    <w:rsid w:val="00D7248C"/>
    <w:rsid w:val="00D7279A"/>
    <w:rsid w:val="00D72AA8"/>
    <w:rsid w:val="00D72B39"/>
    <w:rsid w:val="00D72D4F"/>
    <w:rsid w:val="00D72D5F"/>
    <w:rsid w:val="00D73168"/>
    <w:rsid w:val="00D735F0"/>
    <w:rsid w:val="00D73E26"/>
    <w:rsid w:val="00D744C8"/>
    <w:rsid w:val="00D7526A"/>
    <w:rsid w:val="00D7682E"/>
    <w:rsid w:val="00D77677"/>
    <w:rsid w:val="00D77851"/>
    <w:rsid w:val="00D80497"/>
    <w:rsid w:val="00D80528"/>
    <w:rsid w:val="00D8054D"/>
    <w:rsid w:val="00D807DD"/>
    <w:rsid w:val="00D817B4"/>
    <w:rsid w:val="00D81EAE"/>
    <w:rsid w:val="00D8210E"/>
    <w:rsid w:val="00D82852"/>
    <w:rsid w:val="00D82C33"/>
    <w:rsid w:val="00D83126"/>
    <w:rsid w:val="00D837DD"/>
    <w:rsid w:val="00D83A36"/>
    <w:rsid w:val="00D84112"/>
    <w:rsid w:val="00D85C18"/>
    <w:rsid w:val="00D85CDE"/>
    <w:rsid w:val="00D86571"/>
    <w:rsid w:val="00D86840"/>
    <w:rsid w:val="00D86960"/>
    <w:rsid w:val="00D872E6"/>
    <w:rsid w:val="00D87D4B"/>
    <w:rsid w:val="00D900B4"/>
    <w:rsid w:val="00D900C7"/>
    <w:rsid w:val="00D90116"/>
    <w:rsid w:val="00D90397"/>
    <w:rsid w:val="00D907FF"/>
    <w:rsid w:val="00D9090F"/>
    <w:rsid w:val="00D90CB6"/>
    <w:rsid w:val="00D9102A"/>
    <w:rsid w:val="00D9105E"/>
    <w:rsid w:val="00D9199E"/>
    <w:rsid w:val="00D91FB3"/>
    <w:rsid w:val="00D92324"/>
    <w:rsid w:val="00D9274C"/>
    <w:rsid w:val="00D93AF7"/>
    <w:rsid w:val="00D93B01"/>
    <w:rsid w:val="00D93F9C"/>
    <w:rsid w:val="00D9460C"/>
    <w:rsid w:val="00D94792"/>
    <w:rsid w:val="00D94DBE"/>
    <w:rsid w:val="00D953B6"/>
    <w:rsid w:val="00D96101"/>
    <w:rsid w:val="00D96416"/>
    <w:rsid w:val="00D965F9"/>
    <w:rsid w:val="00DA01B5"/>
    <w:rsid w:val="00DA038B"/>
    <w:rsid w:val="00DA0786"/>
    <w:rsid w:val="00DA08C7"/>
    <w:rsid w:val="00DA0D07"/>
    <w:rsid w:val="00DA1818"/>
    <w:rsid w:val="00DA38B3"/>
    <w:rsid w:val="00DA424D"/>
    <w:rsid w:val="00DA425D"/>
    <w:rsid w:val="00DA4E48"/>
    <w:rsid w:val="00DA4E91"/>
    <w:rsid w:val="00DA5082"/>
    <w:rsid w:val="00DA516A"/>
    <w:rsid w:val="00DA5717"/>
    <w:rsid w:val="00DA5EBD"/>
    <w:rsid w:val="00DA5F09"/>
    <w:rsid w:val="00DA5F99"/>
    <w:rsid w:val="00DA6C82"/>
    <w:rsid w:val="00DA70FB"/>
    <w:rsid w:val="00DA754B"/>
    <w:rsid w:val="00DA7EAF"/>
    <w:rsid w:val="00DB0134"/>
    <w:rsid w:val="00DB0177"/>
    <w:rsid w:val="00DB06A2"/>
    <w:rsid w:val="00DB091A"/>
    <w:rsid w:val="00DB09A6"/>
    <w:rsid w:val="00DB0AD6"/>
    <w:rsid w:val="00DB0FA7"/>
    <w:rsid w:val="00DB1026"/>
    <w:rsid w:val="00DB10A7"/>
    <w:rsid w:val="00DB10A9"/>
    <w:rsid w:val="00DB140F"/>
    <w:rsid w:val="00DB19FA"/>
    <w:rsid w:val="00DB1B67"/>
    <w:rsid w:val="00DB204D"/>
    <w:rsid w:val="00DB2468"/>
    <w:rsid w:val="00DB28AC"/>
    <w:rsid w:val="00DB2C11"/>
    <w:rsid w:val="00DB2C67"/>
    <w:rsid w:val="00DB31CC"/>
    <w:rsid w:val="00DB3594"/>
    <w:rsid w:val="00DB380F"/>
    <w:rsid w:val="00DB3B19"/>
    <w:rsid w:val="00DB4732"/>
    <w:rsid w:val="00DB52F2"/>
    <w:rsid w:val="00DB5641"/>
    <w:rsid w:val="00DB582A"/>
    <w:rsid w:val="00DB6063"/>
    <w:rsid w:val="00DB67F1"/>
    <w:rsid w:val="00DB6A45"/>
    <w:rsid w:val="00DB6E1B"/>
    <w:rsid w:val="00DB7110"/>
    <w:rsid w:val="00DB71EC"/>
    <w:rsid w:val="00DB7769"/>
    <w:rsid w:val="00DB7EB7"/>
    <w:rsid w:val="00DB7FBD"/>
    <w:rsid w:val="00DC0824"/>
    <w:rsid w:val="00DC117D"/>
    <w:rsid w:val="00DC12B6"/>
    <w:rsid w:val="00DC1542"/>
    <w:rsid w:val="00DC1638"/>
    <w:rsid w:val="00DC18BF"/>
    <w:rsid w:val="00DC1C04"/>
    <w:rsid w:val="00DC2004"/>
    <w:rsid w:val="00DC2B61"/>
    <w:rsid w:val="00DC320D"/>
    <w:rsid w:val="00DC380D"/>
    <w:rsid w:val="00DC3AC3"/>
    <w:rsid w:val="00DC3B6F"/>
    <w:rsid w:val="00DC419B"/>
    <w:rsid w:val="00DC4543"/>
    <w:rsid w:val="00DC4DD2"/>
    <w:rsid w:val="00DC58EE"/>
    <w:rsid w:val="00DC5910"/>
    <w:rsid w:val="00DC6060"/>
    <w:rsid w:val="00DC669C"/>
    <w:rsid w:val="00DC70E6"/>
    <w:rsid w:val="00DC711E"/>
    <w:rsid w:val="00DC7803"/>
    <w:rsid w:val="00DC7826"/>
    <w:rsid w:val="00DC78FB"/>
    <w:rsid w:val="00DC7B48"/>
    <w:rsid w:val="00DC7D9F"/>
    <w:rsid w:val="00DD0589"/>
    <w:rsid w:val="00DD0F6B"/>
    <w:rsid w:val="00DD0FC3"/>
    <w:rsid w:val="00DD1557"/>
    <w:rsid w:val="00DD1A4F"/>
    <w:rsid w:val="00DD1DA5"/>
    <w:rsid w:val="00DD1F14"/>
    <w:rsid w:val="00DD1F9A"/>
    <w:rsid w:val="00DD24B2"/>
    <w:rsid w:val="00DD2697"/>
    <w:rsid w:val="00DD2866"/>
    <w:rsid w:val="00DD2F6B"/>
    <w:rsid w:val="00DD2F8E"/>
    <w:rsid w:val="00DD3069"/>
    <w:rsid w:val="00DD3391"/>
    <w:rsid w:val="00DD3653"/>
    <w:rsid w:val="00DD3A4C"/>
    <w:rsid w:val="00DD3B7C"/>
    <w:rsid w:val="00DD431D"/>
    <w:rsid w:val="00DD453C"/>
    <w:rsid w:val="00DD4557"/>
    <w:rsid w:val="00DD5107"/>
    <w:rsid w:val="00DD5779"/>
    <w:rsid w:val="00DD5B09"/>
    <w:rsid w:val="00DD660C"/>
    <w:rsid w:val="00DD6D19"/>
    <w:rsid w:val="00DD72F8"/>
    <w:rsid w:val="00DD7476"/>
    <w:rsid w:val="00DD7D3F"/>
    <w:rsid w:val="00DD7E9F"/>
    <w:rsid w:val="00DE07E8"/>
    <w:rsid w:val="00DE09DD"/>
    <w:rsid w:val="00DE0A25"/>
    <w:rsid w:val="00DE0DB7"/>
    <w:rsid w:val="00DE12EF"/>
    <w:rsid w:val="00DE165F"/>
    <w:rsid w:val="00DE19AB"/>
    <w:rsid w:val="00DE26F5"/>
    <w:rsid w:val="00DE27A2"/>
    <w:rsid w:val="00DE2C70"/>
    <w:rsid w:val="00DE2D10"/>
    <w:rsid w:val="00DE35FC"/>
    <w:rsid w:val="00DE363A"/>
    <w:rsid w:val="00DE377F"/>
    <w:rsid w:val="00DE48C0"/>
    <w:rsid w:val="00DE492C"/>
    <w:rsid w:val="00DE4A60"/>
    <w:rsid w:val="00DE4DD3"/>
    <w:rsid w:val="00DE5267"/>
    <w:rsid w:val="00DE5716"/>
    <w:rsid w:val="00DE5898"/>
    <w:rsid w:val="00DE5B08"/>
    <w:rsid w:val="00DE5B49"/>
    <w:rsid w:val="00DE5D37"/>
    <w:rsid w:val="00DE62CA"/>
    <w:rsid w:val="00DE6568"/>
    <w:rsid w:val="00DE6A11"/>
    <w:rsid w:val="00DE6BEE"/>
    <w:rsid w:val="00DE6C43"/>
    <w:rsid w:val="00DE7724"/>
    <w:rsid w:val="00DF0146"/>
    <w:rsid w:val="00DF0665"/>
    <w:rsid w:val="00DF070C"/>
    <w:rsid w:val="00DF098A"/>
    <w:rsid w:val="00DF100D"/>
    <w:rsid w:val="00DF10A9"/>
    <w:rsid w:val="00DF1168"/>
    <w:rsid w:val="00DF17ED"/>
    <w:rsid w:val="00DF2380"/>
    <w:rsid w:val="00DF2A26"/>
    <w:rsid w:val="00DF30ED"/>
    <w:rsid w:val="00DF33A7"/>
    <w:rsid w:val="00DF4AA9"/>
    <w:rsid w:val="00DF4C41"/>
    <w:rsid w:val="00DF4C6F"/>
    <w:rsid w:val="00DF4D38"/>
    <w:rsid w:val="00DF535B"/>
    <w:rsid w:val="00DF542A"/>
    <w:rsid w:val="00DF58CD"/>
    <w:rsid w:val="00DF5E21"/>
    <w:rsid w:val="00DF63AE"/>
    <w:rsid w:val="00DF674E"/>
    <w:rsid w:val="00DF7315"/>
    <w:rsid w:val="00DF7718"/>
    <w:rsid w:val="00DF79D8"/>
    <w:rsid w:val="00DF7A82"/>
    <w:rsid w:val="00DF7D90"/>
    <w:rsid w:val="00E00DEE"/>
    <w:rsid w:val="00E013A1"/>
    <w:rsid w:val="00E0157A"/>
    <w:rsid w:val="00E01DE1"/>
    <w:rsid w:val="00E01DEA"/>
    <w:rsid w:val="00E02D01"/>
    <w:rsid w:val="00E04681"/>
    <w:rsid w:val="00E046D9"/>
    <w:rsid w:val="00E04A66"/>
    <w:rsid w:val="00E06293"/>
    <w:rsid w:val="00E06751"/>
    <w:rsid w:val="00E07B03"/>
    <w:rsid w:val="00E07B93"/>
    <w:rsid w:val="00E07D7B"/>
    <w:rsid w:val="00E07E6D"/>
    <w:rsid w:val="00E07EBE"/>
    <w:rsid w:val="00E104E0"/>
    <w:rsid w:val="00E10D9C"/>
    <w:rsid w:val="00E1128C"/>
    <w:rsid w:val="00E116C9"/>
    <w:rsid w:val="00E11720"/>
    <w:rsid w:val="00E11A5F"/>
    <w:rsid w:val="00E1213B"/>
    <w:rsid w:val="00E124F8"/>
    <w:rsid w:val="00E1266C"/>
    <w:rsid w:val="00E127EA"/>
    <w:rsid w:val="00E12953"/>
    <w:rsid w:val="00E12CE0"/>
    <w:rsid w:val="00E13AC5"/>
    <w:rsid w:val="00E147C0"/>
    <w:rsid w:val="00E14AAF"/>
    <w:rsid w:val="00E14AE7"/>
    <w:rsid w:val="00E14BDA"/>
    <w:rsid w:val="00E14F13"/>
    <w:rsid w:val="00E153BF"/>
    <w:rsid w:val="00E1674D"/>
    <w:rsid w:val="00E1678A"/>
    <w:rsid w:val="00E1680A"/>
    <w:rsid w:val="00E16A09"/>
    <w:rsid w:val="00E16F86"/>
    <w:rsid w:val="00E172F1"/>
    <w:rsid w:val="00E17B14"/>
    <w:rsid w:val="00E17CF2"/>
    <w:rsid w:val="00E20410"/>
    <w:rsid w:val="00E2055F"/>
    <w:rsid w:val="00E20794"/>
    <w:rsid w:val="00E20DBA"/>
    <w:rsid w:val="00E21554"/>
    <w:rsid w:val="00E2232B"/>
    <w:rsid w:val="00E22421"/>
    <w:rsid w:val="00E2261B"/>
    <w:rsid w:val="00E227A5"/>
    <w:rsid w:val="00E22872"/>
    <w:rsid w:val="00E22B36"/>
    <w:rsid w:val="00E239FF"/>
    <w:rsid w:val="00E24860"/>
    <w:rsid w:val="00E24DEA"/>
    <w:rsid w:val="00E2530B"/>
    <w:rsid w:val="00E25FCD"/>
    <w:rsid w:val="00E3014F"/>
    <w:rsid w:val="00E30235"/>
    <w:rsid w:val="00E302D2"/>
    <w:rsid w:val="00E30334"/>
    <w:rsid w:val="00E30661"/>
    <w:rsid w:val="00E3081A"/>
    <w:rsid w:val="00E30F52"/>
    <w:rsid w:val="00E3103A"/>
    <w:rsid w:val="00E3163A"/>
    <w:rsid w:val="00E31831"/>
    <w:rsid w:val="00E31865"/>
    <w:rsid w:val="00E32B16"/>
    <w:rsid w:val="00E32E50"/>
    <w:rsid w:val="00E33259"/>
    <w:rsid w:val="00E33EAF"/>
    <w:rsid w:val="00E33EE5"/>
    <w:rsid w:val="00E34A84"/>
    <w:rsid w:val="00E34AC3"/>
    <w:rsid w:val="00E3687F"/>
    <w:rsid w:val="00E36CC2"/>
    <w:rsid w:val="00E36D36"/>
    <w:rsid w:val="00E371F0"/>
    <w:rsid w:val="00E37A96"/>
    <w:rsid w:val="00E37B4D"/>
    <w:rsid w:val="00E40480"/>
    <w:rsid w:val="00E4055C"/>
    <w:rsid w:val="00E408F7"/>
    <w:rsid w:val="00E4094D"/>
    <w:rsid w:val="00E41832"/>
    <w:rsid w:val="00E4228B"/>
    <w:rsid w:val="00E42B5D"/>
    <w:rsid w:val="00E433FD"/>
    <w:rsid w:val="00E4370C"/>
    <w:rsid w:val="00E4386A"/>
    <w:rsid w:val="00E43CE1"/>
    <w:rsid w:val="00E43E13"/>
    <w:rsid w:val="00E43E39"/>
    <w:rsid w:val="00E4424C"/>
    <w:rsid w:val="00E446C1"/>
    <w:rsid w:val="00E44778"/>
    <w:rsid w:val="00E44F08"/>
    <w:rsid w:val="00E45076"/>
    <w:rsid w:val="00E456F0"/>
    <w:rsid w:val="00E45EAE"/>
    <w:rsid w:val="00E4651E"/>
    <w:rsid w:val="00E46816"/>
    <w:rsid w:val="00E47C23"/>
    <w:rsid w:val="00E47F47"/>
    <w:rsid w:val="00E5044E"/>
    <w:rsid w:val="00E5072D"/>
    <w:rsid w:val="00E513D1"/>
    <w:rsid w:val="00E514ED"/>
    <w:rsid w:val="00E5190E"/>
    <w:rsid w:val="00E5195A"/>
    <w:rsid w:val="00E525B3"/>
    <w:rsid w:val="00E52C8C"/>
    <w:rsid w:val="00E5342E"/>
    <w:rsid w:val="00E5359D"/>
    <w:rsid w:val="00E5369D"/>
    <w:rsid w:val="00E537EF"/>
    <w:rsid w:val="00E53841"/>
    <w:rsid w:val="00E53DA3"/>
    <w:rsid w:val="00E53EBA"/>
    <w:rsid w:val="00E54790"/>
    <w:rsid w:val="00E54E05"/>
    <w:rsid w:val="00E54F3D"/>
    <w:rsid w:val="00E55808"/>
    <w:rsid w:val="00E55B3F"/>
    <w:rsid w:val="00E55CEE"/>
    <w:rsid w:val="00E55F87"/>
    <w:rsid w:val="00E56CFC"/>
    <w:rsid w:val="00E57658"/>
    <w:rsid w:val="00E6024F"/>
    <w:rsid w:val="00E607B8"/>
    <w:rsid w:val="00E608D5"/>
    <w:rsid w:val="00E60BD1"/>
    <w:rsid w:val="00E60BFB"/>
    <w:rsid w:val="00E60D7B"/>
    <w:rsid w:val="00E613BB"/>
    <w:rsid w:val="00E61653"/>
    <w:rsid w:val="00E62184"/>
    <w:rsid w:val="00E621C3"/>
    <w:rsid w:val="00E6236B"/>
    <w:rsid w:val="00E6246B"/>
    <w:rsid w:val="00E62B5C"/>
    <w:rsid w:val="00E634B5"/>
    <w:rsid w:val="00E63537"/>
    <w:rsid w:val="00E63E1A"/>
    <w:rsid w:val="00E645C9"/>
    <w:rsid w:val="00E647DE"/>
    <w:rsid w:val="00E64B6E"/>
    <w:rsid w:val="00E66287"/>
    <w:rsid w:val="00E66AF8"/>
    <w:rsid w:val="00E67BCC"/>
    <w:rsid w:val="00E67F76"/>
    <w:rsid w:val="00E70048"/>
    <w:rsid w:val="00E70D00"/>
    <w:rsid w:val="00E70EC1"/>
    <w:rsid w:val="00E713D3"/>
    <w:rsid w:val="00E71506"/>
    <w:rsid w:val="00E715C7"/>
    <w:rsid w:val="00E72308"/>
    <w:rsid w:val="00E72863"/>
    <w:rsid w:val="00E733A4"/>
    <w:rsid w:val="00E733C1"/>
    <w:rsid w:val="00E733DC"/>
    <w:rsid w:val="00E73461"/>
    <w:rsid w:val="00E74792"/>
    <w:rsid w:val="00E74964"/>
    <w:rsid w:val="00E751B2"/>
    <w:rsid w:val="00E75241"/>
    <w:rsid w:val="00E75938"/>
    <w:rsid w:val="00E75988"/>
    <w:rsid w:val="00E76143"/>
    <w:rsid w:val="00E76240"/>
    <w:rsid w:val="00E7695A"/>
    <w:rsid w:val="00E76DB3"/>
    <w:rsid w:val="00E775F8"/>
    <w:rsid w:val="00E77C8C"/>
    <w:rsid w:val="00E80856"/>
    <w:rsid w:val="00E81289"/>
    <w:rsid w:val="00E81F18"/>
    <w:rsid w:val="00E81FAB"/>
    <w:rsid w:val="00E8210E"/>
    <w:rsid w:val="00E82EAD"/>
    <w:rsid w:val="00E8333D"/>
    <w:rsid w:val="00E8356A"/>
    <w:rsid w:val="00E83732"/>
    <w:rsid w:val="00E8400D"/>
    <w:rsid w:val="00E845CF"/>
    <w:rsid w:val="00E857AC"/>
    <w:rsid w:val="00E85BF0"/>
    <w:rsid w:val="00E85DA0"/>
    <w:rsid w:val="00E862EF"/>
    <w:rsid w:val="00E863D7"/>
    <w:rsid w:val="00E86BBA"/>
    <w:rsid w:val="00E87083"/>
    <w:rsid w:val="00E8713C"/>
    <w:rsid w:val="00E873B9"/>
    <w:rsid w:val="00E87607"/>
    <w:rsid w:val="00E87EFD"/>
    <w:rsid w:val="00E903EE"/>
    <w:rsid w:val="00E907E8"/>
    <w:rsid w:val="00E91D3E"/>
    <w:rsid w:val="00E91EC3"/>
    <w:rsid w:val="00E91F27"/>
    <w:rsid w:val="00E930BE"/>
    <w:rsid w:val="00E93380"/>
    <w:rsid w:val="00E93A89"/>
    <w:rsid w:val="00E944FF"/>
    <w:rsid w:val="00E94517"/>
    <w:rsid w:val="00E9687A"/>
    <w:rsid w:val="00E96932"/>
    <w:rsid w:val="00E96AC3"/>
    <w:rsid w:val="00E97462"/>
    <w:rsid w:val="00E9764A"/>
    <w:rsid w:val="00E97856"/>
    <w:rsid w:val="00E97DAC"/>
    <w:rsid w:val="00EA0422"/>
    <w:rsid w:val="00EA05DE"/>
    <w:rsid w:val="00EA0903"/>
    <w:rsid w:val="00EA0BB8"/>
    <w:rsid w:val="00EA10D4"/>
    <w:rsid w:val="00EA168A"/>
    <w:rsid w:val="00EA1ACE"/>
    <w:rsid w:val="00EA24CE"/>
    <w:rsid w:val="00EA325A"/>
    <w:rsid w:val="00EA38EB"/>
    <w:rsid w:val="00EA3A5D"/>
    <w:rsid w:val="00EA4434"/>
    <w:rsid w:val="00EA4447"/>
    <w:rsid w:val="00EA44FE"/>
    <w:rsid w:val="00EA49D8"/>
    <w:rsid w:val="00EA4B8A"/>
    <w:rsid w:val="00EA56B5"/>
    <w:rsid w:val="00EA56BF"/>
    <w:rsid w:val="00EA5705"/>
    <w:rsid w:val="00EA5E10"/>
    <w:rsid w:val="00EA6020"/>
    <w:rsid w:val="00EA6459"/>
    <w:rsid w:val="00EA684F"/>
    <w:rsid w:val="00EA6AE6"/>
    <w:rsid w:val="00EA6BEC"/>
    <w:rsid w:val="00EA6EF2"/>
    <w:rsid w:val="00EA75A6"/>
    <w:rsid w:val="00EA7C41"/>
    <w:rsid w:val="00EA7C63"/>
    <w:rsid w:val="00EA7E46"/>
    <w:rsid w:val="00EB0A43"/>
    <w:rsid w:val="00EB23D8"/>
    <w:rsid w:val="00EB252E"/>
    <w:rsid w:val="00EB2764"/>
    <w:rsid w:val="00EB2840"/>
    <w:rsid w:val="00EB2A19"/>
    <w:rsid w:val="00EB2F90"/>
    <w:rsid w:val="00EB3486"/>
    <w:rsid w:val="00EB399E"/>
    <w:rsid w:val="00EB4525"/>
    <w:rsid w:val="00EB4DDD"/>
    <w:rsid w:val="00EB53DC"/>
    <w:rsid w:val="00EB5471"/>
    <w:rsid w:val="00EB5A32"/>
    <w:rsid w:val="00EB5BFF"/>
    <w:rsid w:val="00EB5D40"/>
    <w:rsid w:val="00EB6CA5"/>
    <w:rsid w:val="00EB6DFA"/>
    <w:rsid w:val="00EB717A"/>
    <w:rsid w:val="00EB7FF7"/>
    <w:rsid w:val="00EC008B"/>
    <w:rsid w:val="00EC0823"/>
    <w:rsid w:val="00EC0D6D"/>
    <w:rsid w:val="00EC18A2"/>
    <w:rsid w:val="00EC2057"/>
    <w:rsid w:val="00EC2236"/>
    <w:rsid w:val="00EC39A3"/>
    <w:rsid w:val="00EC4193"/>
    <w:rsid w:val="00EC4A42"/>
    <w:rsid w:val="00EC4F1D"/>
    <w:rsid w:val="00EC4F23"/>
    <w:rsid w:val="00EC5272"/>
    <w:rsid w:val="00EC5888"/>
    <w:rsid w:val="00EC6381"/>
    <w:rsid w:val="00EC669C"/>
    <w:rsid w:val="00EC67A6"/>
    <w:rsid w:val="00EC72BF"/>
    <w:rsid w:val="00EC767C"/>
    <w:rsid w:val="00EC76E6"/>
    <w:rsid w:val="00EC7D55"/>
    <w:rsid w:val="00ED05AC"/>
    <w:rsid w:val="00ED06AE"/>
    <w:rsid w:val="00ED0A37"/>
    <w:rsid w:val="00ED1750"/>
    <w:rsid w:val="00ED19E8"/>
    <w:rsid w:val="00ED1D16"/>
    <w:rsid w:val="00ED283D"/>
    <w:rsid w:val="00ED2B6C"/>
    <w:rsid w:val="00ED2F12"/>
    <w:rsid w:val="00ED3A63"/>
    <w:rsid w:val="00ED464D"/>
    <w:rsid w:val="00ED4908"/>
    <w:rsid w:val="00ED4D86"/>
    <w:rsid w:val="00ED4DE2"/>
    <w:rsid w:val="00ED54BE"/>
    <w:rsid w:val="00ED5723"/>
    <w:rsid w:val="00ED5C83"/>
    <w:rsid w:val="00ED67A5"/>
    <w:rsid w:val="00ED6E32"/>
    <w:rsid w:val="00ED7241"/>
    <w:rsid w:val="00ED7490"/>
    <w:rsid w:val="00ED7622"/>
    <w:rsid w:val="00ED76D9"/>
    <w:rsid w:val="00EE0DC5"/>
    <w:rsid w:val="00EE1006"/>
    <w:rsid w:val="00EE180E"/>
    <w:rsid w:val="00EE18E9"/>
    <w:rsid w:val="00EE1CDB"/>
    <w:rsid w:val="00EE2280"/>
    <w:rsid w:val="00EE2F20"/>
    <w:rsid w:val="00EE3714"/>
    <w:rsid w:val="00EE3B5F"/>
    <w:rsid w:val="00EE3EC7"/>
    <w:rsid w:val="00EE402C"/>
    <w:rsid w:val="00EE4047"/>
    <w:rsid w:val="00EE4624"/>
    <w:rsid w:val="00EE52C2"/>
    <w:rsid w:val="00EE54BC"/>
    <w:rsid w:val="00EE5BCD"/>
    <w:rsid w:val="00EE5C0F"/>
    <w:rsid w:val="00EE5F5C"/>
    <w:rsid w:val="00EE6CC9"/>
    <w:rsid w:val="00EE713C"/>
    <w:rsid w:val="00EE72F5"/>
    <w:rsid w:val="00EE76B4"/>
    <w:rsid w:val="00EE7C34"/>
    <w:rsid w:val="00EF00C3"/>
    <w:rsid w:val="00EF01DB"/>
    <w:rsid w:val="00EF05D3"/>
    <w:rsid w:val="00EF0EAC"/>
    <w:rsid w:val="00EF11CF"/>
    <w:rsid w:val="00EF1B1F"/>
    <w:rsid w:val="00EF225E"/>
    <w:rsid w:val="00EF239E"/>
    <w:rsid w:val="00EF241C"/>
    <w:rsid w:val="00EF26D6"/>
    <w:rsid w:val="00EF317E"/>
    <w:rsid w:val="00EF345B"/>
    <w:rsid w:val="00EF39F5"/>
    <w:rsid w:val="00EF3E1E"/>
    <w:rsid w:val="00EF3FDE"/>
    <w:rsid w:val="00EF42FB"/>
    <w:rsid w:val="00EF48C4"/>
    <w:rsid w:val="00EF4A11"/>
    <w:rsid w:val="00EF4E28"/>
    <w:rsid w:val="00EF51E1"/>
    <w:rsid w:val="00EF53CF"/>
    <w:rsid w:val="00EF5DBC"/>
    <w:rsid w:val="00EF5DF2"/>
    <w:rsid w:val="00EF5ED1"/>
    <w:rsid w:val="00EF638C"/>
    <w:rsid w:val="00EF6822"/>
    <w:rsid w:val="00EF6924"/>
    <w:rsid w:val="00EF6BA1"/>
    <w:rsid w:val="00EF7146"/>
    <w:rsid w:val="00EF72BA"/>
    <w:rsid w:val="00F00379"/>
    <w:rsid w:val="00F00772"/>
    <w:rsid w:val="00F0092A"/>
    <w:rsid w:val="00F0126A"/>
    <w:rsid w:val="00F0186E"/>
    <w:rsid w:val="00F01ED7"/>
    <w:rsid w:val="00F02BF1"/>
    <w:rsid w:val="00F0355F"/>
    <w:rsid w:val="00F03848"/>
    <w:rsid w:val="00F03A64"/>
    <w:rsid w:val="00F03AD9"/>
    <w:rsid w:val="00F03AEE"/>
    <w:rsid w:val="00F03B76"/>
    <w:rsid w:val="00F03CE3"/>
    <w:rsid w:val="00F03E60"/>
    <w:rsid w:val="00F040FB"/>
    <w:rsid w:val="00F0422B"/>
    <w:rsid w:val="00F045FC"/>
    <w:rsid w:val="00F04626"/>
    <w:rsid w:val="00F04738"/>
    <w:rsid w:val="00F055AF"/>
    <w:rsid w:val="00F0572A"/>
    <w:rsid w:val="00F05976"/>
    <w:rsid w:val="00F05977"/>
    <w:rsid w:val="00F06332"/>
    <w:rsid w:val="00F06612"/>
    <w:rsid w:val="00F06EEE"/>
    <w:rsid w:val="00F07C31"/>
    <w:rsid w:val="00F104F5"/>
    <w:rsid w:val="00F10B16"/>
    <w:rsid w:val="00F12979"/>
    <w:rsid w:val="00F12A17"/>
    <w:rsid w:val="00F12E4F"/>
    <w:rsid w:val="00F13495"/>
    <w:rsid w:val="00F134AD"/>
    <w:rsid w:val="00F1465A"/>
    <w:rsid w:val="00F149ED"/>
    <w:rsid w:val="00F14E24"/>
    <w:rsid w:val="00F14E5A"/>
    <w:rsid w:val="00F153C4"/>
    <w:rsid w:val="00F16807"/>
    <w:rsid w:val="00F16C67"/>
    <w:rsid w:val="00F200B4"/>
    <w:rsid w:val="00F20156"/>
    <w:rsid w:val="00F20BC2"/>
    <w:rsid w:val="00F20EC6"/>
    <w:rsid w:val="00F2102A"/>
    <w:rsid w:val="00F2117B"/>
    <w:rsid w:val="00F21181"/>
    <w:rsid w:val="00F21278"/>
    <w:rsid w:val="00F21698"/>
    <w:rsid w:val="00F2174C"/>
    <w:rsid w:val="00F2293A"/>
    <w:rsid w:val="00F22C2D"/>
    <w:rsid w:val="00F230CE"/>
    <w:rsid w:val="00F237F9"/>
    <w:rsid w:val="00F23A16"/>
    <w:rsid w:val="00F23ABB"/>
    <w:rsid w:val="00F23DAC"/>
    <w:rsid w:val="00F23DEA"/>
    <w:rsid w:val="00F24396"/>
    <w:rsid w:val="00F24A19"/>
    <w:rsid w:val="00F25362"/>
    <w:rsid w:val="00F2581C"/>
    <w:rsid w:val="00F26277"/>
    <w:rsid w:val="00F267EC"/>
    <w:rsid w:val="00F27297"/>
    <w:rsid w:val="00F27C2C"/>
    <w:rsid w:val="00F27C58"/>
    <w:rsid w:val="00F3033F"/>
    <w:rsid w:val="00F30A77"/>
    <w:rsid w:val="00F30FBB"/>
    <w:rsid w:val="00F3138C"/>
    <w:rsid w:val="00F3170A"/>
    <w:rsid w:val="00F31769"/>
    <w:rsid w:val="00F31A49"/>
    <w:rsid w:val="00F32219"/>
    <w:rsid w:val="00F32238"/>
    <w:rsid w:val="00F324F0"/>
    <w:rsid w:val="00F3275E"/>
    <w:rsid w:val="00F33181"/>
    <w:rsid w:val="00F34051"/>
    <w:rsid w:val="00F342A9"/>
    <w:rsid w:val="00F34B7F"/>
    <w:rsid w:val="00F34D31"/>
    <w:rsid w:val="00F356B6"/>
    <w:rsid w:val="00F35E0E"/>
    <w:rsid w:val="00F366BA"/>
    <w:rsid w:val="00F367F2"/>
    <w:rsid w:val="00F36C14"/>
    <w:rsid w:val="00F3708F"/>
    <w:rsid w:val="00F37ADF"/>
    <w:rsid w:val="00F37D27"/>
    <w:rsid w:val="00F400CD"/>
    <w:rsid w:val="00F406FF"/>
    <w:rsid w:val="00F40979"/>
    <w:rsid w:val="00F40B37"/>
    <w:rsid w:val="00F4100B"/>
    <w:rsid w:val="00F416FE"/>
    <w:rsid w:val="00F43396"/>
    <w:rsid w:val="00F4366A"/>
    <w:rsid w:val="00F44103"/>
    <w:rsid w:val="00F44833"/>
    <w:rsid w:val="00F457CC"/>
    <w:rsid w:val="00F45950"/>
    <w:rsid w:val="00F45B82"/>
    <w:rsid w:val="00F45DE9"/>
    <w:rsid w:val="00F46654"/>
    <w:rsid w:val="00F46668"/>
    <w:rsid w:val="00F466AD"/>
    <w:rsid w:val="00F467FC"/>
    <w:rsid w:val="00F4723E"/>
    <w:rsid w:val="00F47602"/>
    <w:rsid w:val="00F50336"/>
    <w:rsid w:val="00F50492"/>
    <w:rsid w:val="00F508E2"/>
    <w:rsid w:val="00F50910"/>
    <w:rsid w:val="00F512FA"/>
    <w:rsid w:val="00F516C2"/>
    <w:rsid w:val="00F51B02"/>
    <w:rsid w:val="00F51C24"/>
    <w:rsid w:val="00F52A1B"/>
    <w:rsid w:val="00F52AAC"/>
    <w:rsid w:val="00F52C94"/>
    <w:rsid w:val="00F52CE7"/>
    <w:rsid w:val="00F5310B"/>
    <w:rsid w:val="00F5391E"/>
    <w:rsid w:val="00F53D16"/>
    <w:rsid w:val="00F53F7C"/>
    <w:rsid w:val="00F54030"/>
    <w:rsid w:val="00F5441C"/>
    <w:rsid w:val="00F553C6"/>
    <w:rsid w:val="00F55593"/>
    <w:rsid w:val="00F55693"/>
    <w:rsid w:val="00F55A15"/>
    <w:rsid w:val="00F55F59"/>
    <w:rsid w:val="00F56EEE"/>
    <w:rsid w:val="00F57C7D"/>
    <w:rsid w:val="00F6019C"/>
    <w:rsid w:val="00F603F4"/>
    <w:rsid w:val="00F6135D"/>
    <w:rsid w:val="00F61778"/>
    <w:rsid w:val="00F61FF1"/>
    <w:rsid w:val="00F62A20"/>
    <w:rsid w:val="00F62B38"/>
    <w:rsid w:val="00F6316B"/>
    <w:rsid w:val="00F634B4"/>
    <w:rsid w:val="00F63566"/>
    <w:rsid w:val="00F63A2F"/>
    <w:rsid w:val="00F6446C"/>
    <w:rsid w:val="00F644E2"/>
    <w:rsid w:val="00F64E0A"/>
    <w:rsid w:val="00F6557B"/>
    <w:rsid w:val="00F65A54"/>
    <w:rsid w:val="00F65B8D"/>
    <w:rsid w:val="00F65EF8"/>
    <w:rsid w:val="00F66B49"/>
    <w:rsid w:val="00F6749B"/>
    <w:rsid w:val="00F67FB3"/>
    <w:rsid w:val="00F704FC"/>
    <w:rsid w:val="00F706AD"/>
    <w:rsid w:val="00F70E51"/>
    <w:rsid w:val="00F71022"/>
    <w:rsid w:val="00F71679"/>
    <w:rsid w:val="00F716CB"/>
    <w:rsid w:val="00F720D0"/>
    <w:rsid w:val="00F72246"/>
    <w:rsid w:val="00F72D34"/>
    <w:rsid w:val="00F72D7A"/>
    <w:rsid w:val="00F7311C"/>
    <w:rsid w:val="00F7320D"/>
    <w:rsid w:val="00F73380"/>
    <w:rsid w:val="00F74383"/>
    <w:rsid w:val="00F749FD"/>
    <w:rsid w:val="00F74C63"/>
    <w:rsid w:val="00F74E8F"/>
    <w:rsid w:val="00F76379"/>
    <w:rsid w:val="00F76975"/>
    <w:rsid w:val="00F76B4B"/>
    <w:rsid w:val="00F76C63"/>
    <w:rsid w:val="00F7732F"/>
    <w:rsid w:val="00F77BD4"/>
    <w:rsid w:val="00F8023B"/>
    <w:rsid w:val="00F81219"/>
    <w:rsid w:val="00F813ED"/>
    <w:rsid w:val="00F8218E"/>
    <w:rsid w:val="00F82C97"/>
    <w:rsid w:val="00F82DCD"/>
    <w:rsid w:val="00F83218"/>
    <w:rsid w:val="00F8328F"/>
    <w:rsid w:val="00F83C90"/>
    <w:rsid w:val="00F84D74"/>
    <w:rsid w:val="00F8605A"/>
    <w:rsid w:val="00F860BD"/>
    <w:rsid w:val="00F8687A"/>
    <w:rsid w:val="00F86888"/>
    <w:rsid w:val="00F86CE3"/>
    <w:rsid w:val="00F86DCB"/>
    <w:rsid w:val="00F86E7F"/>
    <w:rsid w:val="00F876EE"/>
    <w:rsid w:val="00F87CF9"/>
    <w:rsid w:val="00F90327"/>
    <w:rsid w:val="00F90960"/>
    <w:rsid w:val="00F90BC4"/>
    <w:rsid w:val="00F90E2F"/>
    <w:rsid w:val="00F90EDC"/>
    <w:rsid w:val="00F92214"/>
    <w:rsid w:val="00F92299"/>
    <w:rsid w:val="00F9278D"/>
    <w:rsid w:val="00F92F3A"/>
    <w:rsid w:val="00F930CC"/>
    <w:rsid w:val="00F934D7"/>
    <w:rsid w:val="00F94083"/>
    <w:rsid w:val="00F94084"/>
    <w:rsid w:val="00F941AD"/>
    <w:rsid w:val="00F94B7A"/>
    <w:rsid w:val="00F95AE9"/>
    <w:rsid w:val="00F97041"/>
    <w:rsid w:val="00F9760E"/>
    <w:rsid w:val="00F97C9E"/>
    <w:rsid w:val="00FA0DCF"/>
    <w:rsid w:val="00FA1047"/>
    <w:rsid w:val="00FA172A"/>
    <w:rsid w:val="00FA2270"/>
    <w:rsid w:val="00FA2433"/>
    <w:rsid w:val="00FA2925"/>
    <w:rsid w:val="00FA2EB4"/>
    <w:rsid w:val="00FA2F50"/>
    <w:rsid w:val="00FA37E2"/>
    <w:rsid w:val="00FA3A02"/>
    <w:rsid w:val="00FA3EA3"/>
    <w:rsid w:val="00FA4146"/>
    <w:rsid w:val="00FA4233"/>
    <w:rsid w:val="00FA424D"/>
    <w:rsid w:val="00FA5297"/>
    <w:rsid w:val="00FA5E41"/>
    <w:rsid w:val="00FA5FE6"/>
    <w:rsid w:val="00FA60A1"/>
    <w:rsid w:val="00FA62C7"/>
    <w:rsid w:val="00FA6372"/>
    <w:rsid w:val="00FA6739"/>
    <w:rsid w:val="00FA68AC"/>
    <w:rsid w:val="00FA69D4"/>
    <w:rsid w:val="00FA6D54"/>
    <w:rsid w:val="00FA6F12"/>
    <w:rsid w:val="00FB00D9"/>
    <w:rsid w:val="00FB12F2"/>
    <w:rsid w:val="00FB162C"/>
    <w:rsid w:val="00FB1C00"/>
    <w:rsid w:val="00FB2152"/>
    <w:rsid w:val="00FB21B0"/>
    <w:rsid w:val="00FB2601"/>
    <w:rsid w:val="00FB2742"/>
    <w:rsid w:val="00FB3F75"/>
    <w:rsid w:val="00FB3FC4"/>
    <w:rsid w:val="00FB443E"/>
    <w:rsid w:val="00FB4C0B"/>
    <w:rsid w:val="00FB5793"/>
    <w:rsid w:val="00FB5A05"/>
    <w:rsid w:val="00FB5C1E"/>
    <w:rsid w:val="00FB5F24"/>
    <w:rsid w:val="00FB5FE5"/>
    <w:rsid w:val="00FB638F"/>
    <w:rsid w:val="00FB6DA4"/>
    <w:rsid w:val="00FB72CB"/>
    <w:rsid w:val="00FB73C6"/>
    <w:rsid w:val="00FB78ED"/>
    <w:rsid w:val="00FB7A1A"/>
    <w:rsid w:val="00FC052B"/>
    <w:rsid w:val="00FC058C"/>
    <w:rsid w:val="00FC06C5"/>
    <w:rsid w:val="00FC074C"/>
    <w:rsid w:val="00FC0847"/>
    <w:rsid w:val="00FC10AE"/>
    <w:rsid w:val="00FC115A"/>
    <w:rsid w:val="00FC1331"/>
    <w:rsid w:val="00FC2595"/>
    <w:rsid w:val="00FC26B5"/>
    <w:rsid w:val="00FC29EC"/>
    <w:rsid w:val="00FC2B54"/>
    <w:rsid w:val="00FC3AC5"/>
    <w:rsid w:val="00FC3AEE"/>
    <w:rsid w:val="00FC3C49"/>
    <w:rsid w:val="00FC3CA2"/>
    <w:rsid w:val="00FC3E0A"/>
    <w:rsid w:val="00FC3E5A"/>
    <w:rsid w:val="00FC40BC"/>
    <w:rsid w:val="00FC4CE1"/>
    <w:rsid w:val="00FC4F09"/>
    <w:rsid w:val="00FC575E"/>
    <w:rsid w:val="00FC57AC"/>
    <w:rsid w:val="00FC5ADB"/>
    <w:rsid w:val="00FC6353"/>
    <w:rsid w:val="00FC6604"/>
    <w:rsid w:val="00FC66B5"/>
    <w:rsid w:val="00FC6F09"/>
    <w:rsid w:val="00FC727E"/>
    <w:rsid w:val="00FC74F9"/>
    <w:rsid w:val="00FC79D9"/>
    <w:rsid w:val="00FC7A75"/>
    <w:rsid w:val="00FD0560"/>
    <w:rsid w:val="00FD0929"/>
    <w:rsid w:val="00FD0BEC"/>
    <w:rsid w:val="00FD1322"/>
    <w:rsid w:val="00FD163F"/>
    <w:rsid w:val="00FD1701"/>
    <w:rsid w:val="00FD1AF7"/>
    <w:rsid w:val="00FD1B44"/>
    <w:rsid w:val="00FD2377"/>
    <w:rsid w:val="00FD2406"/>
    <w:rsid w:val="00FD2530"/>
    <w:rsid w:val="00FD2A00"/>
    <w:rsid w:val="00FD2EEA"/>
    <w:rsid w:val="00FD3411"/>
    <w:rsid w:val="00FD368A"/>
    <w:rsid w:val="00FD39A4"/>
    <w:rsid w:val="00FD3A8F"/>
    <w:rsid w:val="00FD433F"/>
    <w:rsid w:val="00FD4891"/>
    <w:rsid w:val="00FD4D95"/>
    <w:rsid w:val="00FD50BD"/>
    <w:rsid w:val="00FD5117"/>
    <w:rsid w:val="00FD56B9"/>
    <w:rsid w:val="00FD5A19"/>
    <w:rsid w:val="00FD5B28"/>
    <w:rsid w:val="00FD5DE2"/>
    <w:rsid w:val="00FD5E67"/>
    <w:rsid w:val="00FD6469"/>
    <w:rsid w:val="00FD669B"/>
    <w:rsid w:val="00FD6ACD"/>
    <w:rsid w:val="00FD73D3"/>
    <w:rsid w:val="00FD7950"/>
    <w:rsid w:val="00FE0745"/>
    <w:rsid w:val="00FE13CE"/>
    <w:rsid w:val="00FE195F"/>
    <w:rsid w:val="00FE2E4C"/>
    <w:rsid w:val="00FE33C2"/>
    <w:rsid w:val="00FE39B2"/>
    <w:rsid w:val="00FE39C7"/>
    <w:rsid w:val="00FE3BE5"/>
    <w:rsid w:val="00FE435A"/>
    <w:rsid w:val="00FE47F0"/>
    <w:rsid w:val="00FE4B44"/>
    <w:rsid w:val="00FE4E98"/>
    <w:rsid w:val="00FE4EEB"/>
    <w:rsid w:val="00FE5682"/>
    <w:rsid w:val="00FE5770"/>
    <w:rsid w:val="00FE583C"/>
    <w:rsid w:val="00FE5B0F"/>
    <w:rsid w:val="00FE6AD5"/>
    <w:rsid w:val="00FE6C68"/>
    <w:rsid w:val="00FE6FC7"/>
    <w:rsid w:val="00FE7C3C"/>
    <w:rsid w:val="00FE7ED9"/>
    <w:rsid w:val="00FE7F8A"/>
    <w:rsid w:val="00FF0039"/>
    <w:rsid w:val="00FF01F1"/>
    <w:rsid w:val="00FF0333"/>
    <w:rsid w:val="00FF0727"/>
    <w:rsid w:val="00FF0AD2"/>
    <w:rsid w:val="00FF127C"/>
    <w:rsid w:val="00FF18EF"/>
    <w:rsid w:val="00FF2148"/>
    <w:rsid w:val="00FF2359"/>
    <w:rsid w:val="00FF247B"/>
    <w:rsid w:val="00FF3838"/>
    <w:rsid w:val="00FF3992"/>
    <w:rsid w:val="00FF4CF1"/>
    <w:rsid w:val="00FF5127"/>
    <w:rsid w:val="00FF5667"/>
    <w:rsid w:val="00FF586D"/>
    <w:rsid w:val="00FF5945"/>
    <w:rsid w:val="00FF5CA7"/>
    <w:rsid w:val="00FF5ECE"/>
    <w:rsid w:val="00FF6E4A"/>
    <w:rsid w:val="00FF747A"/>
    <w:rsid w:val="00FF7F35"/>
    <w:rsid w:val="00FF7FBE"/>
    <w:rsid w:val="078C3039"/>
    <w:rsid w:val="090C4359"/>
    <w:rsid w:val="09D33B9B"/>
    <w:rsid w:val="13470925"/>
    <w:rsid w:val="142A9B92"/>
    <w:rsid w:val="20FCD214"/>
    <w:rsid w:val="26A6CD85"/>
    <w:rsid w:val="34F25D04"/>
    <w:rsid w:val="3517CBE3"/>
    <w:rsid w:val="3E8016ED"/>
    <w:rsid w:val="3EEB7F99"/>
    <w:rsid w:val="40874FFA"/>
    <w:rsid w:val="41B7B7AF"/>
    <w:rsid w:val="5101ECAB"/>
    <w:rsid w:val="528AF18B"/>
    <w:rsid w:val="6A3ABBA6"/>
    <w:rsid w:val="76DF6F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B54BBE"/>
  <w15:chartTrackingRefBased/>
  <w15:docId w15:val="{99629223-CEEE-4566-BE4B-0EF1D7434F0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B61629"/>
    <w:pPr>
      <w:tabs>
        <w:tab w:val="center" w:pos="4513"/>
        <w:tab w:val="right" w:pos="9026"/>
      </w:tabs>
    </w:pPr>
  </w:style>
  <w:style w:type="character" w:styleId="HeaderChar" w:customStyle="1">
    <w:name w:val="Header Char"/>
    <w:basedOn w:val="DefaultParagraphFont"/>
    <w:link w:val="Header"/>
    <w:uiPriority w:val="99"/>
    <w:rsid w:val="00B61629"/>
  </w:style>
  <w:style w:type="paragraph" w:styleId="Footer">
    <w:name w:val="footer"/>
    <w:basedOn w:val="Normal"/>
    <w:link w:val="FooterChar"/>
    <w:uiPriority w:val="99"/>
    <w:unhideWhenUsed/>
    <w:rsid w:val="00B61629"/>
    <w:pPr>
      <w:tabs>
        <w:tab w:val="center" w:pos="4513"/>
        <w:tab w:val="right" w:pos="9026"/>
      </w:tabs>
    </w:pPr>
  </w:style>
  <w:style w:type="character" w:styleId="FooterChar" w:customStyle="1">
    <w:name w:val="Footer Char"/>
    <w:basedOn w:val="DefaultParagraphFont"/>
    <w:link w:val="Footer"/>
    <w:uiPriority w:val="99"/>
    <w:rsid w:val="00B61629"/>
  </w:style>
  <w:style w:type="paragraph" w:styleId="ListParagraph">
    <w:name w:val="List Paragraph"/>
    <w:basedOn w:val="Normal"/>
    <w:uiPriority w:val="34"/>
    <w:qFormat/>
    <w:rsid w:val="00C94CDC"/>
    <w:pPr>
      <w:ind w:left="720"/>
      <w:contextualSpacing/>
    </w:pPr>
  </w:style>
  <w:style w:type="paragraph" w:styleId="FootnoteText">
    <w:name w:val="footnote text"/>
    <w:basedOn w:val="Normal"/>
    <w:link w:val="FootnoteTextChar"/>
    <w:uiPriority w:val="99"/>
    <w:unhideWhenUsed/>
    <w:rsid w:val="00DF0146"/>
    <w:rPr>
      <w:sz w:val="20"/>
      <w:szCs w:val="20"/>
    </w:rPr>
  </w:style>
  <w:style w:type="character" w:styleId="FootnoteTextChar" w:customStyle="1">
    <w:name w:val="Footnote Text Char"/>
    <w:basedOn w:val="DefaultParagraphFont"/>
    <w:link w:val="FootnoteText"/>
    <w:uiPriority w:val="99"/>
    <w:rsid w:val="00DF0146"/>
    <w:rPr>
      <w:sz w:val="20"/>
      <w:szCs w:val="20"/>
    </w:rPr>
  </w:style>
  <w:style w:type="character" w:styleId="FootnoteReference">
    <w:name w:val="footnote reference"/>
    <w:basedOn w:val="DefaultParagraphFont"/>
    <w:uiPriority w:val="99"/>
    <w:semiHidden/>
    <w:unhideWhenUsed/>
    <w:rsid w:val="00DF0146"/>
    <w:rPr>
      <w:vertAlign w:val="superscript"/>
    </w:rPr>
  </w:style>
  <w:style w:type="character" w:styleId="Hyperlink">
    <w:name w:val="Hyperlink"/>
    <w:basedOn w:val="DefaultParagraphFont"/>
    <w:uiPriority w:val="99"/>
    <w:unhideWhenUsed/>
    <w:rsid w:val="00D33D2A"/>
    <w:rPr>
      <w:color w:val="0563C1" w:themeColor="hyperlink"/>
      <w:u w:val="single"/>
    </w:rPr>
  </w:style>
  <w:style w:type="character" w:styleId="UnresolvedMention">
    <w:name w:val="Unresolved Mention"/>
    <w:basedOn w:val="DefaultParagraphFont"/>
    <w:uiPriority w:val="99"/>
    <w:semiHidden/>
    <w:unhideWhenUsed/>
    <w:rsid w:val="00D33D2A"/>
    <w:rPr>
      <w:color w:val="605E5C"/>
      <w:shd w:val="clear" w:color="auto" w:fill="E1DFDD"/>
    </w:rPr>
  </w:style>
  <w:style w:type="character" w:styleId="Emphasis">
    <w:name w:val="Emphasis"/>
    <w:basedOn w:val="DefaultParagraphFont"/>
    <w:uiPriority w:val="20"/>
    <w:qFormat/>
    <w:rsid w:val="00993DCC"/>
    <w:rPr>
      <w:i/>
      <w:iCs/>
    </w:rPr>
  </w:style>
  <w:style w:type="paragraph" w:styleId="Normal0" w:customStyle="1">
    <w:name w:val="[Normal]"/>
    <w:rsid w:val="00665A3E"/>
    <w:pPr>
      <w:widowControl w:val="0"/>
      <w:autoSpaceDE w:val="0"/>
      <w:autoSpaceDN w:val="0"/>
      <w:adjustRightInd w:val="0"/>
    </w:pPr>
    <w:rPr>
      <w:rFonts w:ascii="Arial" w:hAnsi="Arial" w:cs="Arial"/>
      <w:sz w:val="24"/>
      <w:szCs w:val="24"/>
    </w:rPr>
  </w:style>
  <w:style w:type="paragraph" w:styleId="EndnoteText">
    <w:name w:val="endnote text"/>
    <w:basedOn w:val="Normal"/>
    <w:link w:val="EndnoteTextChar"/>
    <w:uiPriority w:val="99"/>
    <w:semiHidden/>
    <w:unhideWhenUsed/>
    <w:rsid w:val="00F27C58"/>
    <w:rPr>
      <w:sz w:val="20"/>
      <w:szCs w:val="20"/>
    </w:rPr>
  </w:style>
  <w:style w:type="character" w:styleId="EndnoteTextChar" w:customStyle="1">
    <w:name w:val="Endnote Text Char"/>
    <w:basedOn w:val="DefaultParagraphFont"/>
    <w:link w:val="EndnoteText"/>
    <w:uiPriority w:val="99"/>
    <w:semiHidden/>
    <w:rsid w:val="00F27C58"/>
    <w:rPr>
      <w:sz w:val="20"/>
      <w:szCs w:val="20"/>
    </w:rPr>
  </w:style>
  <w:style w:type="character" w:styleId="EndnoteReference">
    <w:name w:val="endnote reference"/>
    <w:basedOn w:val="DefaultParagraphFont"/>
    <w:uiPriority w:val="99"/>
    <w:semiHidden/>
    <w:unhideWhenUsed/>
    <w:rsid w:val="00F27C5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openjusticecourtofprotection.org/2023/04/16/after-the-kidney-transplant-the-view-from-team-william" TargetMode="Externa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thecharliegardfoundation.org/about/what-is-charlies-law/" TargetMode="External"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yperlink" Target="https://www.opendemocracy.net/en/archie-battersbee-christian-legal-centre-preying-whitewash/" TargetMode="Externa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adc.bmj.com/content/101/1/23" TargetMode="External" Id="rId11" /><Relationship Type="http://schemas.openxmlformats.org/officeDocument/2006/relationships/numbering" Target="numbering.xml" Id="rId5" /><Relationship Type="http://schemas.openxmlformats.org/officeDocument/2006/relationships/hyperlink" Target="https://www.dailypost.co.uk/news/north-wales-news-/archie-battersbees-mum-hollie-says-24796995" TargetMode="Externa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transparencyproject.org.uk/experience-as-a-legal-blogger-at-the-tafida-raqeeb-case" TargetMode="External" Id="rId14" /></Relationships>
</file>

<file path=word/_rels/footnotes.xml.rels><?xml version="1.0" encoding="UTF-8" standalone="yes"?>
<Relationships xmlns="http://schemas.openxmlformats.org/package/2006/relationships"><Relationship Id="rId3" Type="http://schemas.openxmlformats.org/officeDocument/2006/relationships/hyperlink" Target="https://openjusticecourtofprotection.org/2023/04/16/after-the-kidney-transplant-the-view-from-team-william" TargetMode="External"/><Relationship Id="rId2" Type="http://schemas.openxmlformats.org/officeDocument/2006/relationships/hyperlink" Target="https://www.nuffieldbioethics.org/publications/disagreements-in-the-care-of-critically-ill-children-2/project-background" TargetMode="External"/><Relationship Id="rId1" Type="http://schemas.openxmlformats.org/officeDocument/2006/relationships/hyperlink" Target="https://thecharliegardfoundation.org/about/what-is-charlies-law/" TargetMode="External"/><Relationship Id="rId6" Type="http://schemas.openxmlformats.org/officeDocument/2006/relationships/hyperlink" Target="https://www.dailypost.co.uk/news/north-wales-news-/archie-battersbees-mum-hollie-says-24796995" TargetMode="External"/><Relationship Id="rId5" Type="http://schemas.openxmlformats.org/officeDocument/2006/relationships/hyperlink" Target="https://www.opendemocracy.net/en/archie-battersbee-christian-legal-centre-preying-whitewash/" TargetMode="External"/><Relationship Id="rId4" Type="http://schemas.openxmlformats.org/officeDocument/2006/relationships/hyperlink" Target="https://transparencyproject.org.uk/experience-as-a-legal-blogger-at-the-tafida-raqeeb-ca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B2DFEE9E9C5A46996956AFB3823531" ma:contentTypeVersion="17" ma:contentTypeDescription="Create a new document." ma:contentTypeScope="" ma:versionID="802fb055c767eb69de1310e44889c402">
  <xsd:schema xmlns:xsd="http://www.w3.org/2001/XMLSchema" xmlns:xs="http://www.w3.org/2001/XMLSchema" xmlns:p="http://schemas.microsoft.com/office/2006/metadata/properties" xmlns:ns2="f33d4386-0a61-4a75-8f9f-e4284d9fd319" xmlns:ns3="fb01901e-a29a-4885-9805-59a2a22a5b2d" targetNamespace="http://schemas.microsoft.com/office/2006/metadata/properties" ma:root="true" ma:fieldsID="efef6bdfbf1edbb30e828586c51491b0" ns2:_="" ns3:_="">
    <xsd:import namespace="f33d4386-0a61-4a75-8f9f-e4284d9fd319"/>
    <xsd:import namespace="fb01901e-a29a-4885-9805-59a2a22a5b2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3d4386-0a61-4a75-8f9f-e4284d9fd3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2685ab4-baa2-4c4f-bb7f-5702bb19f6c9"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01901e-a29a-4885-9805-59a2a22a5b2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cce5468b-f1c8-408c-8bf0-bbfcaeb904dc}" ma:internalName="TaxCatchAll" ma:showField="CatchAllData" ma:web="fb01901e-a29a-4885-9805-59a2a22a5b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33d4386-0a61-4a75-8f9f-e4284d9fd319">
      <Terms xmlns="http://schemas.microsoft.com/office/infopath/2007/PartnerControls"/>
    </lcf76f155ced4ddcb4097134ff3c332f>
    <TaxCatchAll xmlns="fb01901e-a29a-4885-9805-59a2a22a5b2d" xsi:nil="true"/>
    <SharedWithUsers xmlns="fb01901e-a29a-4885-9805-59a2a22a5b2d">
      <UserInfo>
        <DisplayName>Rebecca Mussell</DisplayName>
        <AccountId>389</AccountId>
        <AccountType/>
      </UserInfo>
      <UserInfo>
        <DisplayName>Allison Milbrath</DisplayName>
        <AccountId>381</AccountId>
        <AccountType/>
      </UserInfo>
      <UserInfo>
        <DisplayName>Richella Logan</DisplayName>
        <AccountId>17</AccountId>
        <AccountType/>
      </UserInfo>
      <UserInfo>
        <DisplayName>Sarah Walker-Robson</DisplayName>
        <AccountId>14</AccountId>
        <AccountType/>
      </UserInfo>
      <UserInfo>
        <DisplayName>Danielle Hamm</DisplayName>
        <AccountId>188</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6307257-5828-499E-9A5E-0D28713C72C9}"/>
</file>

<file path=customXml/itemProps2.xml><?xml version="1.0" encoding="utf-8"?>
<ds:datastoreItem xmlns:ds="http://schemas.openxmlformats.org/officeDocument/2006/customXml" ds:itemID="{F0D1B62C-D61C-42D6-9692-7419F200633B}">
  <ds:schemaRefs>
    <ds:schemaRef ds:uri="http://purl.org/dc/elements/1.1/"/>
    <ds:schemaRef ds:uri="http://purl.org/dc/dcmitype/"/>
    <ds:schemaRef ds:uri="http://purl.org/dc/terms/"/>
    <ds:schemaRef ds:uri="http://schemas.microsoft.com/office/2006/metadata/properties"/>
    <ds:schemaRef ds:uri="http://schemas.microsoft.com/office/infopath/2007/PartnerControls"/>
    <ds:schemaRef ds:uri="f33d4386-0a61-4a75-8f9f-e4284d9fd319"/>
    <ds:schemaRef ds:uri="http://schemas.microsoft.com/office/2006/documentManagement/types"/>
    <ds:schemaRef ds:uri="http://schemas.openxmlformats.org/package/2006/metadata/core-properties"/>
    <ds:schemaRef ds:uri="fb01901e-a29a-4885-9805-59a2a22a5b2d"/>
    <ds:schemaRef ds:uri="http://www.w3.org/XML/1998/namespace"/>
  </ds:schemaRefs>
</ds:datastoreItem>
</file>

<file path=customXml/itemProps3.xml><?xml version="1.0" encoding="utf-8"?>
<ds:datastoreItem xmlns:ds="http://schemas.openxmlformats.org/officeDocument/2006/customXml" ds:itemID="{D5991E46-9DC9-4A7A-A3A0-A41401206C32}">
  <ds:schemaRefs>
    <ds:schemaRef ds:uri="http://schemas.openxmlformats.org/officeDocument/2006/bibliography"/>
  </ds:schemaRefs>
</ds:datastoreItem>
</file>

<file path=customXml/itemProps4.xml><?xml version="1.0" encoding="utf-8"?>
<ds:datastoreItem xmlns:ds="http://schemas.openxmlformats.org/officeDocument/2006/customXml" ds:itemID="{ADFCBDAF-D7A8-427D-92D3-6F602A3A896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24288</Words>
  <Characters>138443</Characters>
  <Application>Microsoft Office Word</Application>
  <DocSecurity>4</DocSecurity>
  <Lines>1153</Lines>
  <Paragraphs>324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162407</CharactersWithSpaces>
  <SharedDoc>false</SharedDoc>
  <HLinks>
    <vt:vector size="72" baseType="variant">
      <vt:variant>
        <vt:i4>5111890</vt:i4>
      </vt:variant>
      <vt:variant>
        <vt:i4>15</vt:i4>
      </vt:variant>
      <vt:variant>
        <vt:i4>0</vt:i4>
      </vt:variant>
      <vt:variant>
        <vt:i4>5</vt:i4>
      </vt:variant>
      <vt:variant>
        <vt:lpwstr>https://www.opendemocracy.net/en/archie-battersbee-christian-legal-centre-preying-whitewash/</vt:lpwstr>
      </vt:variant>
      <vt:variant>
        <vt:lpwstr/>
      </vt:variant>
      <vt:variant>
        <vt:i4>7340072</vt:i4>
      </vt:variant>
      <vt:variant>
        <vt:i4>12</vt:i4>
      </vt:variant>
      <vt:variant>
        <vt:i4>0</vt:i4>
      </vt:variant>
      <vt:variant>
        <vt:i4>5</vt:i4>
      </vt:variant>
      <vt:variant>
        <vt:lpwstr>https://www.dailypost.co.uk/news/north-wales-news-/archie-battersbees-mum-hollie-says-24796995</vt:lpwstr>
      </vt:variant>
      <vt:variant>
        <vt:lpwstr/>
      </vt:variant>
      <vt:variant>
        <vt:i4>7602209</vt:i4>
      </vt:variant>
      <vt:variant>
        <vt:i4>9</vt:i4>
      </vt:variant>
      <vt:variant>
        <vt:i4>0</vt:i4>
      </vt:variant>
      <vt:variant>
        <vt:i4>5</vt:i4>
      </vt:variant>
      <vt:variant>
        <vt:lpwstr>https://transparencyproject.org.uk/experience-as-a-legal-blogger-at-the-tafida-raqeeb-case</vt:lpwstr>
      </vt:variant>
      <vt:variant>
        <vt:lpwstr/>
      </vt:variant>
      <vt:variant>
        <vt:i4>3276849</vt:i4>
      </vt:variant>
      <vt:variant>
        <vt:i4>6</vt:i4>
      </vt:variant>
      <vt:variant>
        <vt:i4>0</vt:i4>
      </vt:variant>
      <vt:variant>
        <vt:i4>5</vt:i4>
      </vt:variant>
      <vt:variant>
        <vt:lpwstr>https://openjusticecourtofprotection.org/2023/04/16/after-the-kidney-transplant-the-view-from-team-william</vt:lpwstr>
      </vt:variant>
      <vt:variant>
        <vt:lpwstr/>
      </vt:variant>
      <vt:variant>
        <vt:i4>4325459</vt:i4>
      </vt:variant>
      <vt:variant>
        <vt:i4>3</vt:i4>
      </vt:variant>
      <vt:variant>
        <vt:i4>0</vt:i4>
      </vt:variant>
      <vt:variant>
        <vt:i4>5</vt:i4>
      </vt:variant>
      <vt:variant>
        <vt:lpwstr>https://thecharliegardfoundation.org/about/what-is-charlies-law/</vt:lpwstr>
      </vt:variant>
      <vt:variant>
        <vt:lpwstr/>
      </vt:variant>
      <vt:variant>
        <vt:i4>65627</vt:i4>
      </vt:variant>
      <vt:variant>
        <vt:i4>0</vt:i4>
      </vt:variant>
      <vt:variant>
        <vt:i4>0</vt:i4>
      </vt:variant>
      <vt:variant>
        <vt:i4>5</vt:i4>
      </vt:variant>
      <vt:variant>
        <vt:lpwstr>https://adc.bmj.com/content/101/1/23</vt:lpwstr>
      </vt:variant>
      <vt:variant>
        <vt:lpwstr/>
      </vt:variant>
      <vt:variant>
        <vt:i4>7340072</vt:i4>
      </vt:variant>
      <vt:variant>
        <vt:i4>15</vt:i4>
      </vt:variant>
      <vt:variant>
        <vt:i4>0</vt:i4>
      </vt:variant>
      <vt:variant>
        <vt:i4>5</vt:i4>
      </vt:variant>
      <vt:variant>
        <vt:lpwstr>https://www.dailypost.co.uk/news/north-wales-news-/archie-battersbees-mum-hollie-says-24796995</vt:lpwstr>
      </vt:variant>
      <vt:variant>
        <vt:lpwstr/>
      </vt:variant>
      <vt:variant>
        <vt:i4>5111890</vt:i4>
      </vt:variant>
      <vt:variant>
        <vt:i4>12</vt:i4>
      </vt:variant>
      <vt:variant>
        <vt:i4>0</vt:i4>
      </vt:variant>
      <vt:variant>
        <vt:i4>5</vt:i4>
      </vt:variant>
      <vt:variant>
        <vt:lpwstr>https://www.opendemocracy.net/en/archie-battersbee-christian-legal-centre-preying-whitewash/</vt:lpwstr>
      </vt:variant>
      <vt:variant>
        <vt:lpwstr/>
      </vt:variant>
      <vt:variant>
        <vt:i4>7602209</vt:i4>
      </vt:variant>
      <vt:variant>
        <vt:i4>9</vt:i4>
      </vt:variant>
      <vt:variant>
        <vt:i4>0</vt:i4>
      </vt:variant>
      <vt:variant>
        <vt:i4>5</vt:i4>
      </vt:variant>
      <vt:variant>
        <vt:lpwstr>https://transparencyproject.org.uk/experience-as-a-legal-blogger-at-the-tafida-raqeeb-case</vt:lpwstr>
      </vt:variant>
      <vt:variant>
        <vt:lpwstr/>
      </vt:variant>
      <vt:variant>
        <vt:i4>3276849</vt:i4>
      </vt:variant>
      <vt:variant>
        <vt:i4>6</vt:i4>
      </vt:variant>
      <vt:variant>
        <vt:i4>0</vt:i4>
      </vt:variant>
      <vt:variant>
        <vt:i4>5</vt:i4>
      </vt:variant>
      <vt:variant>
        <vt:lpwstr>https://openjusticecourtofprotection.org/2023/04/16/after-the-kidney-transplant-the-view-from-team-william</vt:lpwstr>
      </vt:variant>
      <vt:variant>
        <vt:lpwstr/>
      </vt:variant>
      <vt:variant>
        <vt:i4>6094931</vt:i4>
      </vt:variant>
      <vt:variant>
        <vt:i4>3</vt:i4>
      </vt:variant>
      <vt:variant>
        <vt:i4>0</vt:i4>
      </vt:variant>
      <vt:variant>
        <vt:i4>5</vt:i4>
      </vt:variant>
      <vt:variant>
        <vt:lpwstr>https://www.nuffieldbioethics.org/publications/disagreements-in-the-care-of-critically-ill-children-2/project-background</vt:lpwstr>
      </vt:variant>
      <vt:variant>
        <vt:lpwstr/>
      </vt:variant>
      <vt:variant>
        <vt:i4>4325459</vt:i4>
      </vt:variant>
      <vt:variant>
        <vt:i4>0</vt:i4>
      </vt:variant>
      <vt:variant>
        <vt:i4>0</vt:i4>
      </vt:variant>
      <vt:variant>
        <vt:i4>5</vt:i4>
      </vt:variant>
      <vt:variant>
        <vt:lpwstr>https://thecharliegardfoundation.org/about/what-is-charlies-law/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Kirsty Moreton (Birmingham Law School)</dc:creator>
  <cp:keywords/>
  <dc:description/>
  <cp:lastModifiedBy>Allison Milbrath</cp:lastModifiedBy>
  <cp:revision>23</cp:revision>
  <dcterms:created xsi:type="dcterms:W3CDTF">2023-05-03T18:05:00Z</dcterms:created>
  <dcterms:modified xsi:type="dcterms:W3CDTF">2023-05-18T19:34:00Z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0x0101006CB2DFEE9E9C5A46996956AFB3823531</vt:lpwstr>
  </property>
  <property fmtid="{D5CDD505-2E9C-101B-9397-08002B2CF9AE}" pid="3" name="MediaServiceImageTags">
    <vt:lpwstr/>
  </property>
  <property fmtid="{D5CDD505-2E9C-101B-9397-08002B2CF9AE}" pid="4" name="GrammarlyDocumentId">
    <vt:lpwstr>867c47ad8c6e202f6dab6403e4774907977c6ab88bd355a97f58e6e8525b43c5</vt:lpwstr>
  </property>
</Properties>
</file>